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ACPR/84/2020 vom 24. Dezember 2019</w:t>
      </w:r>
    </w:p>
    <w:p>
      <w:r>
        <w:t>GE Cour de justice, 2019-12-24, FR</w:t>
      </w:r>
    </w:p>
    <w:p>
      <w:r>
        <w:rPr>
          <w:b/>
        </w:rPr>
        <w:t xml:space="preserve">Quelle: </w:t>
      </w:r>
      <w:r>
        <w:t>https://mcp.opencaselaw.ch/entscheid/ge_gerichte_ACPR_84_2020</w:t>
      </w:r>
    </w:p>
    <w:p>
      <w:r>
        <w:t>FR: GE_GERICHTE ACPR/84/2020 du 24 décembre 2019</w:t>
      </w:r>
    </w:p>
    <w:p>
      <w:r>
        <w:t>IT: GE_GERICHTE ACPR/84/2020 del 24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L'existence de charges suffisantes au sens de l'art. 221 al. 1 CPP ont été retenues dans les précédents arrêts de la Chambre de céans, auxquels il est renvoyé en tant que de besoin.</w:t>
      </w:r>
    </w:p>
    <w:p>
      <w:r>
        <w:rPr>
          <w:b/>
        </w:rPr>
        <w:t>E. 3</w:t>
      </w:r>
    </w:p>
    <w:p>
      <w:r>
        <w:t>Dans son précédent arrêt ACPR/956/2019 du 4 décembre 2019, la Chambre de céans a retenu que le risque de collusion à l'égard de E______ s'était considérablement</w:t>
      </w:r>
    </w:p>
    <w:p>
      <w:r>
        <w:t>- 9/12 - P/11732/2015 atténué depuis que l'expertise de crédibilité avait été rendue. C'est donc à tort que les autorités précédentes ont persisté à maintenir un degré de risque de collusion égal à celui constaté en février 2019, au moment de l'arrestation du recourant.</w:t>
      </w:r>
    </w:p>
    <w:p>
      <w:r>
        <w:rPr>
          <w:b/>
        </w:rPr>
        <w:t>E. 4</w:t>
      </w:r>
    </w:p>
    <w:p>
      <w:r>
        <w:t>Le recourant relativise le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l'espèce, le risque de réitération pour des faits de même nature que ceux dont le recourant est prévenu est incontestable, ayant été confirmé par l'expertise psychiatrique rendue en décembre 2019. Comme la Chambre de céans a déjà eu l'occasion de le dire (cf. ACPR/452/2019 du 18 juin 2019), l'importance du bien juridiquement protégé, soit le développement des enfants, autorise de retenir un tel risque même en l'absence d'antécédents judiciaires.</w:t>
      </w:r>
    </w:p>
    <w:p>
      <w:r>
        <w:rPr>
          <w:b/>
        </w:rPr>
        <w:t>E. 5</w:t>
      </w:r>
    </w:p>
    <w:p>
      <w:r>
        <w:t>Reste à examiner si les mesures de substitution demeurent adéquates et proportionnées pour pallier les risques susmentionnés.</w:t>
      </w:r>
    </w:p>
    <w:p>
      <w:r>
        <w:t>- 10/12 - P/11732/2015</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de se soumettre à un traitement médical ou à des contrôles (let. f). La liste des mesures de substitution énoncée à l'art. 237 CPP n'est pas exhaustive et des mesures peuvent être combinées (arrêt du Tribunal fédéral 1B_654/2011 du 7 décembre 2011 consid. 4.2). Lorsque la mesure ne consiste pas uniquement en l'accomplissement d'un acte ponctuel, sa durée doit être limitée dans le temps (ATF 141 IV 190 consid. 3.3 p. 193).</w:t>
      </w:r>
    </w:p>
    <w:p>
      <w:r>
        <w:rPr>
          <w:b/>
        </w:rPr>
        <w:t>E. 5.2</w:t>
      </w:r>
    </w:p>
    <w:p>
      <w:r>
        <w:t>En l'espèce, l'interdiction de contacts directs du recourant avec ses enfants et son ex-épouse, ainsi qu'avec les intervenants sociaux, a été ordonnée en février 2019 pour pallier le grave risque de collusion avec E______, avant l'expertise de crédibilité de celle-ci, et en raison des comportements du prévenu dans les semaines précédentes. Depuis, comme déjà dit, le risque de collusion s'est considérablement atténué et l'expertise de crédibilité a retenu que les déclarations de l'enfant au sujet des maltraitances qu'elle avait alléguées à son retour de vacances, en décembre 2018, paraissent hautement crédibles. À réception de l'expertise de crédibilité, les mesures de substitution ont dès lors été allégées, le recourant étant autorisé depuis septembre 2019 à voir ses enfants dans le cadre de la surveillance proposée par le juge civil. Or, compte tenu des conclusions de l'expertise de crédibilité, on ne peut continuer à reprocher au recourant, dans l'examen de la prolongation des mesures de substitution sous l'angle du risque de réitération, d'avoir amené E______, fin décembre 2018, chez un médecin pour faire constater les lésions, ni d'avoir souhaité que sa fille soit entendue par la police, le 3 janvier 2019. Si, en raison de la personnalité du recourant – telle que décrite par l'expert psychiatre –, un risque de réitération subsiste, force est de constater que son intensité s'est réduite par rapport à ce qui avait été constaté lors de son arrestation en février 2019, au vu des éléments précités, de l'absence de grave trouble mental retenue par l'expert et de l'absence – depuis près d'un an – de tout nouveau comportement du prévenu similaire à ceux ayant motivé sa mise en arrestation. Les mesures de substitution doivent dès lors être adaptées à cette évolution. En l'occurrence, la récente expertise psychiatrique conclut qu'un traitement psychothérapeutique "au long cours" serait de nature à réduire le risque de récidive, si le recourant prenait davantage conscience de sa part de responsabilité dans le maintien du conflit. Le Ministère public estime que le médecin-traitant du recourant, le Dr J______, manquerait "d'impartialité", mais l'expert n'a pas posé de conditions au traitement, précisant que le suivi pouvait être envisagé dans n'importe quelle consultation de psychiatrie.</w:t>
      </w:r>
    </w:p>
    <w:p>
      <w:r>
        <w:t>- 11/12 - P/11732/2015 Partant, au vu de l'évolution de la situation et des conclusions de l'expert, il peut être retenu, avant même l'audition de celui-ci par le Ministère public – le</w:t>
      </w:r>
    </w:p>
    <w:p>
      <w:r>
        <w:rPr>
          <w:b/>
        </w:rPr>
        <w:t>E. 7</w:t>
      </w:r>
    </w:p>
    <w:p>
      <w:r>
        <w:t>L'admission du recours ne donne pas lieu à la perception de frais (art. 428 al. 1 CPP). * * * * *</w:t>
      </w:r>
    </w:p>
    <w:p>
      <w:r>
        <w:t>- 12/12 - P/11732/2015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