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ACPR/848/2019 vom 3. September 2019</w:t>
      </w:r>
    </w:p>
    <w:p>
      <w:r>
        <w:t>GE Cour de justice, 2019-09-03, FR</w:t>
      </w:r>
    </w:p>
    <w:p>
      <w:r>
        <w:rPr>
          <w:b/>
        </w:rPr>
        <w:t xml:space="preserve">Quelle: </w:t>
      </w:r>
      <w:r>
        <w:t>https://mcp.opencaselaw.ch/entscheid/ge_gerichte_ACPR_848_2019</w:t>
      </w:r>
    </w:p>
    <w:p>
      <w:r>
        <w:t>FR: GE_GERICHTE ACPR/848/2019 du 3 septembre 2019</w:t>
      </w:r>
    </w:p>
    <w:p>
      <w:r>
        <w:t>IT: GE_GERICHTE ACPR/848/2019 del 3 settembre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w:t>
      </w:r>
    </w:p>
    <w:p>
      <w:r>
        <w:t>9/13</w:t>
      </w:r>
    </w:p>
    <w:p>
      <w:r>
        <w:t>PM/970/2019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défavorablement uniquement sur la base des antécédents et faire ainsi du besoin de protection de la population un principe absolu (M. DUPUIS / L. MOREILLON / C. PIGUET / S. BERGER / M. MAZOU / V. RODIGARI (éds), Code pénal - Petit commentaire, 2e éd., Bâle 2017, n. 8 ad art. 86 CP et les références citées).</w:t>
      </w:r>
    </w:p>
    <w:p>
      <w:r>
        <w:rPr>
          <w:b/>
        </w:rPr>
        <w:t>E. 2.2</w:t>
      </w:r>
    </w:p>
    <w:p>
      <w:r>
        <w:t>En l'espèce, la condition objective d'une libération conditionnelle est, certes, réalisée depuis le 3 septembre 2019 et les préavis de l'établissement de détention, du SAPEM et du Ministère public sont favorables. Seul le TAPEM a une appréciation différente du pronostic, qu'il considère défavorable. Il apparaît en effet que le recourant a été condamné à huit reprises depuis 2000 pour infraction à la LEI (ancienne LSEE et LEtr), parmi lesquelles sont comprises cinq condamnations pour crimes et délits à la LStup. Il a déjà bénéficié de deux libérations conditionnelles, prononcées en 2011 et 2014. Il ne s'agissait à l'évidence pas de courtes peines de prison, lesquelles démontrent un ancrage certain dans la délinquance et le peu de sensibilité du recourant à la sanction. En outre, si le recourant n'a pas récidivé dans le délai d'épreuve des libérations conditionnelles, il a commis de nouvelles infractions moins d'un an après l'échéance dudit délai. Le risque de réitération s'avère ainsi très important. S'il affirme aujourd'hui vouloir ne plus commettre d'infractions pour éviter de nouvelles incarcérations, force est de constater qu'il avait déjà assuré en 2011 vouloir retourner auprès de sa femme et de son enfant et qu'en 2014, il disait avoir perdu cinq années de sa vie dans les prisons suisses, vouloir changer de vie, travailler, prendre soin de sa famille et s'occuper de sa femme malade. Il avait prétendu qu'il travaillerait dans le bâtiment, ensuite</w:t>
      </w:r>
    </w:p>
    <w:p>
      <w:r>
        <w:t>10/13</w:t>
      </w:r>
    </w:p>
    <w:p>
      <w:r>
        <w:t>PM/970/2019 comme peintre en bâtiment et enfin qu'il ferait le commerce de l'huile de ses oliviers. Il avait assuré qu'il ne reviendrait jamais en Suisse. Aujourd'hui, il déclare que sa femme souffrirait d'un cancer et que ses enfants n'iraient plus à l'école. Il explique que ses beaux-frères se seraient acquittés des frais de l'intervention en hôpital privé que devait subir sa femme à Athènes. Il faut cependant constater que le recourant n'apporte aucune preuve de ses dires, que ce soit de la maladie de son épouse, des conséquences qui y seraient liées ou du fait que ses enfants auraient quitté les écoles albanaises et ne seraient pas inscrits dans des écoles grecques. On peut douter que sa belle- famille, dès lors qu'elle aurait accueilli sa femme et payé un hôpital privé, ne prendrait pas soin des enfants. En toutes hypothèses, les preuves de ses allégations n'auraient pas été compliquées à apporter, notamment par l'intermédiaire de son frère qui vivrait à Genève, ce d'autant plus qu'il avait fait état du cancer de son épouse déjà devant le TCO, en 2018. Ainsi, même à être convaincu de la situation extrêmement pénible dans laquelle se trouve sa famille en raison du comportement du recourant, ce dernier a cependant montré qu'il ne tenait pas ses engagements de sortir de la délinquance et de ne pas revenir en Suisse, même pour assurer le mieux-être des siens. Dès lors, rien n'indique que le recourant saura mettre davantage à profit une nouvelle libération conditionnelle. Au vu de ce qui précède, à l'instar du TAPEM, la Chambre de céans ne peut que constater que les conditions de l'art. 86 al. 1 CP ne sont pas réalisées, le pronostic étant défavorable quant au risque de récidive. La libération conditionnelle a ainsi été refusée, à bon droit.</w:t>
      </w:r>
    </w:p>
    <w:p>
      <w:r>
        <w:rPr>
          <w:b/>
        </w:rPr>
        <w:t>E. 3</w:t>
      </w:r>
    </w:p>
    <w:p>
      <w:r>
        <w:t>Justifié, le jugement querellé sera donc confirmé.</w:t>
      </w:r>
    </w:p>
    <w:p>
      <w:r>
        <w:rPr>
          <w:b/>
        </w:rPr>
        <w:t>E. 4</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w:t>
      </w:r>
    </w:p>
    <w:p>
      <w:r>
        <w:rPr>
          <w:b/>
        </w:rPr>
        <w:t>E. 5.1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110.- pour avocat stagiaire (let. a), CHF 150.- pour collaborateur (let. c) et CHF 200.- pour un chef d'étude (let. c). Seules les heures nécessaires sont retenues; elles sont appréciées en fonction, notamment, de la nature, de l'importance, et des difficultés de la cause, de la valeur litigieuse, de la qualité du travail fourni et du résultat obtenu (art. 16 al. 2 RAJ). Le forfait de 20% ne se justifie pas en instance de recours (ACPR/762/2018 du 14 décembre 2018).</w:t>
      </w:r>
    </w:p>
    <w:p>
      <w:r>
        <w:t>11/13</w:t>
      </w:r>
    </w:p>
    <w:p>
      <w:r>
        <w:t>PM/970/2019</w:t>
      </w:r>
    </w:p>
    <w:p>
      <w:r>
        <w:rPr>
          <w:b/>
        </w:rPr>
        <w:t>E. 5.2</w:t>
      </w:r>
    </w:p>
    <w:p>
      <w:r>
        <w:t>Son conseil, nommé d'office, a produit un état de frais de CHF 1'638.10 correspondant à 7h30 d'activité de collaborateur au tarif de CHF 230.-/h et 3h36 d'activité de stagiaire au tarif de CHF 180.-/h. Il fait état, à charge du collaborateur, de 2h00 de visite à D______ et conférence interne, 4h15 de relecture et correction du recours ainsi que de 3h00 de rédaction du recours à charge du stagiaire. Le temps de rédaction et correction (7h15) du recours qui comporte 15 pages, dont 2,5 pages de garde et conclusions, parait excessif, vu l'absence de complexité du cas, et sera réduit à 6h36, soit 3h36 d'activité du stagiaire et 3h00 du collaborateur, y compris une visite au client, suffisante pour recueillir sa détermination sur le recours. La conférence interne, non détaillée, ne saurait être retenue. L'indemnisation de l'avocat sera, en conséquence, arrêtée à CHF 911.15 (3h à CHF 150.- /h et 3h36 à CHF 110.-/h) plus TVA (7.7%).</w:t>
      </w:r>
    </w:p>
    <w:p>
      <w:r>
        <w:t>* * * * *</w:t>
      </w:r>
    </w:p>
    <w:p>
      <w:r>
        <w:t>12/13</w:t>
      </w:r>
    </w:p>
    <w:p>
      <w:r>
        <w:t>PM/970/2019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