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ACPR/847/2019 vom 7. August 2019</w:t>
      </w:r>
    </w:p>
    <w:p>
      <w:r>
        <w:t>GE Cour de justice, 2019-08-07, FR</w:t>
      </w:r>
    </w:p>
    <w:p>
      <w:r>
        <w:rPr>
          <w:b/>
        </w:rPr>
        <w:t xml:space="preserve">Quelle: </w:t>
      </w:r>
      <w:r>
        <w:t>https://mcp.opencaselaw.ch/entscheid/ge_gerichte_ACPR_847_2019</w:t>
      </w:r>
    </w:p>
    <w:p>
      <w:r>
        <w:t>FR: GE_GERICHTE ACPR/847/2019 du 7 août 2019</w:t>
      </w:r>
    </w:p>
    <w:p>
      <w:r>
        <w:t>IT: GE_GERICHTE ACPR/847/2019 del 7 agosto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recourants se plaignent d'une violation du principe de célérité et critiquent le fait que le Ministère public ait rendu une ordonnance de non-entrée en matière.</w:t>
      </w:r>
    </w:p>
    <w:p>
      <w:r>
        <w:rPr>
          <w:b/>
        </w:rPr>
        <w:t>E. 3.1</w:t>
      </w:r>
    </w:p>
    <w:p>
      <w:r>
        <w:t>Selon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w:t>
      </w:r>
    </w:p>
    <w:p>
      <w:r>
        <w:rPr>
          <w:b/>
        </w:rPr>
        <w:t>E. 3.2</w:t>
      </w:r>
    </w:p>
    <w:p>
      <w:r>
        <w:t>À teneur de l'art. 310 al. 1 CPP, le ministère public rend immédiatement une ordonnance de non-entrée en matière s'il ressort de la dénonciation ou du rapport de police que les éléments constitutifs de l'infraction ou les conditions à l'ouverture de</w:t>
      </w:r>
    </w:p>
    <w:p>
      <w:r>
        <w:t>- 7/12 - P/22032/2018 l'action pénale ne sont manifestement pas réunis (let. a) ou s'il existe des empêchements de procéder (let. b). Le terme "immédiatement" signifie essentiellement, dans ce contexte, que le Ministère public doit veiller au principe de célérité. Il ne l'empêche pas de procéder à de premières investigations, notamment lorsque les éléments qui lui ont été communiqués n'établissent pas clairement les soupçons retenus et qu'il a besoin de quelques renseignements complémentaires pour se faire une idée plus claire de l'affaire et être à même de statuer en connaissance de cause. Il s'agit de le mettre en situation d'apprécier s'il dispose d'éléments suffisants pour ouvrir l'instruction, ce qu'il ne pourra décider qu'une fois éclairé par le rapport complémentaire attendu (N. SCHMID, Schweizerische Strafprozessordnung: Praxiskommentar, Zurich 2009, n. 8 ad art. 309). Le Tribunal fédéral admet également que le ministère public puisse, avant de rendre une ordonnance de non-entrée en matière, consulter les fichiers, dossiers et renseignements disponibles et demander à la personne mise en cause une simple prise de position (arrêt du Tribunal fédéral 1B_526/2012 du 24 juin 2013 consid. 2.2).</w:t>
      </w:r>
    </w:p>
    <w:p>
      <w:r>
        <w:rPr>
          <w:b/>
        </w:rPr>
        <w:t>E. 3.3</w:t>
      </w:r>
    </w:p>
    <w:p>
      <w:r>
        <w:t>En l'espèce, le recourant a déposé plainte contre F______ AG et les frères D______/E______ le 7 novembre 2018, leur reprochant une escroquerie, sans pouvoir documenter la vente litigieuse. Il s'imposait donc de tenter de requérir des informations à ce sujet, ce que le Ministère public a fait le 21 février 2019. Dès réception des documents idoines, le Ministère public a transmis la plainte aux mis en cause, leur demandant de se déterminer, ce qu'ils ont fait le 6 mai 2019. Aucun de ces délais n'apparaît choquant. En tout état, il ne ressort pas du dossier que les recourants aient interpellé le Procureur pour s'enquérir de l'évolution de la cause ou réclamé, en vain, qu'il se déterminât sur l'issue de celle-ci. Enfin, la procédure n'a pas dépassé le stade des premières investigations, le Ministère public ayant procédé à certaines vérifications dans le but de déterminer s'il disposait d'éléments suffisants pour l'ouverture d'une procédure pénale. Ne constituant pas des actes de contrainte, ces actes n'étaient pas un obstacle au prononcé d'une ordonnance de non-entrée en matière. Ces griefs seront donc rejetés.</w:t>
      </w:r>
    </w:p>
    <w:p>
      <w:r>
        <w:rPr>
          <w:b/>
        </w:rPr>
        <w:t>E. 4</w:t>
      </w:r>
    </w:p>
    <w:p>
      <w:r>
        <w:t>Les recourants reprochent au Ministère public de ne pas être entré en matière sur le fond.</w:t>
      </w:r>
    </w:p>
    <w:p>
      <w:r>
        <w:t>- 8/12 - P/22032/2018</w:t>
      </w:r>
    </w:p>
    <w:p>
      <w:r>
        <w:rPr>
          <w:b/>
        </w:rPr>
        <w:t>E. 4.1</w:t>
      </w:r>
    </w:p>
    <w:p>
      <w:r>
        <w:t>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w:t>
      </w:r>
    </w:p>
    <w:p>
      <w:r>
        <w:rPr>
          <w:b/>
        </w:rPr>
        <w:t>E. 4.2</w:t>
      </w:r>
    </w:p>
    <w:p>
      <w:r>
        <w:t>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w:t>
      </w:r>
    </w:p>
    <w:p>
      <w:r>
        <w:t>- 9/12 - P/22032/2018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confirmé la dupe dans son erreur ; cette hypothèse se distingue des deux précédentes en ce sens que l'erreur est préexistante (arrêts du Tribunal fédéral 6S_18/2007 du 2 mars 2007 consid. 2.1.1. et 6S_380/2001 du 13 novembre 2001 consid. 2b/aa non publié à l’ATF 128 IV 255 et les références citées).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81 s. et les références citées). L'astuce n'est en revanche pas réalisée si la dupe pouvait se protéger avec un minimum d'attention ou éviter l'erreur avec le minimum de prudence que l'on pouvait attendre d'elle (ATF 135 IV 76 consid. 5.2 p. 81).</w:t>
      </w:r>
    </w:p>
    <w:p>
      <w:r>
        <w:rPr>
          <w:b/>
        </w:rPr>
        <w:t>E. 4.3</w:t>
      </w:r>
    </w:p>
    <w:p>
      <w:r>
        <w:t>En l'espèce, il ressort du dossier que l'aureus a été acquis durant les années 2005- 2006 par feu P______, pour le compte de F______ AG, et que la pièce a ensuite été vendue à M______ CO. En 2008, M______ CO a placé la pièce en consignation auprès de H______ SA afin qu'elle soit proposée à la vente aux enchères. Toutefois, à la suite de rumeurs quant à l'authenticité de l'objet, la vente a été annulée et la pièce récupérée par feu P______. Cela étant, le bien-fondé de ces rumeurs – in casu la fausseté de la pièce – n'a jamais été établie par la suite. Ce nonobstant, les parties s'opposent sur le fait de savoir si l'aureus, leur a été vendu par F______ AG – représentée par feu P______ et ses fils –, ou par feu P______ à titre privé. À cet égard, les recourants ne sont pas en mesure de produire de pièces justificatives relatives à la vente et les mis en causent contestent leur implication et celle de la société, de sorte qu'une confrontation entre les parties ne parait pas susceptible d'apporter d'élément probant supplémentaire car chacun persisterait vraisemblablement dans sa propre version.</w:t>
      </w:r>
    </w:p>
    <w:p>
      <w:r>
        <w:t>- 10/12 - P/22032/2018 En outre, il apparaît tout à fait plausible que feu P______, ne voulant pas ternir la réputation de sa société à la suite des rumeurs, ait repris la pièce à titre personnel; l'on ne voit dès lors pas comment F______ AG, qui ne faisait pas partie de la transaction, aurait pu étayer l'indemnisation de l'ancien propriétaire. Il n'existe pas non plus d'incohérences dans les déterminations de F______ AG dans la mesure où la société a déclaré ne pas avoir identifié de vente "telle que mentionnée dans [l']envoi", à savoir celle qui serait intervenue entre elle-même et les recourants en 2010. Ainsi, aucun autre acte d'enquête ne parait susceptible de pouvoir apporter des éléments utiles à la procédure. En effet, seule l'audition de P______, aujourd'hui décédé, aurait permis d'établir les circonstances entourant la vente litigieuse et ses conditions; l'audition de L______, non concerné par celle-ci, n'est pas pertinente sur ce point.</w:t>
      </w:r>
    </w:p>
    <w:p>
      <w:r>
        <w:rPr>
          <w:b/>
        </w:rPr>
        <w:t>E. 4.4</w:t>
      </w:r>
    </w:p>
    <w:p>
      <w:r>
        <w:t>En tout état de cause, même si la vente avait pu être établie, la condition objective de l'astuce ferait défaut. En effet, il ne ressort pas du dossier que les recourants, alors qu'ils étaient au courant de l'annulation de la vente de la pièce intervenue lors des enchères, auraient cherché à obtenir des explications sur les raisons de celle-ci. Ils admettent en outre ne pas avoir vérifié l'authenticité de la pièce, préférant se fonder sur un rapport de confiance. S'il ressort de la procédure que les recourants ont a priori effectué plusieurs transactions avec la société F______ AG et feu P______, ils doivent se voir opposer une absence totale de vérifications, surtout dans le contexte d'une transaction portant sur une pièce aussi rare, ce qu'ils n'ignoraient pas, et pour un montant d'une telle importance. Ainsi, A______, en sa qualité d'antiquaire et collectionneur aguerri, ne pouvait s'affranchir, en faisant preuve de la diligence minimale requise, de procéder à certaines vérifications, ne serait-ce que de s'enquérir de la raison de l'annulation de la vente de 2008; le fait de supposer un défaut de paiement de la part de l'acheteur n'étant pas suffisant pour un professionnel du marché de l'art tel que lui.</w:t>
      </w:r>
    </w:p>
    <w:p>
      <w:r>
        <w:rPr>
          <w:b/>
        </w:rPr>
        <w:t>E. 5</w:t>
      </w:r>
    </w:p>
    <w:p>
      <w:r>
        <w:t>Justifiée, l'ordonnance querellée sera donc confirmée.</w:t>
      </w:r>
    </w:p>
    <w:p>
      <w:r>
        <w:rPr>
          <w:b/>
        </w:rPr>
        <w:t>E. 6</w:t>
      </w:r>
    </w:p>
    <w:p>
      <w:r>
        <w:t>Les recourants, qui succombent, supporteront les frais envers l'État, qui seront fixés en totalité à CHF 1'500.- (art. 428 al. 1 CPP et 13 al. 1 du Règlement fixant le tarif des frais en matière pénale, RTFMP ; E 4 10.03). * * * * *</w:t>
      </w:r>
    </w:p>
    <w:p>
      <w:r>
        <w:t>- 11/12 - P/22032/2018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