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ACPR/846/2019 vom 29. Mai 2019</w:t>
      </w:r>
    </w:p>
    <w:p>
      <w:r>
        <w:t>GE Cour de justice, 2019-05-29, FR</w:t>
      </w:r>
    </w:p>
    <w:p>
      <w:r>
        <w:rPr>
          <w:b/>
        </w:rPr>
        <w:t xml:space="preserve">Quelle: </w:t>
      </w:r>
      <w:r>
        <w:t>https://mcp.opencaselaw.ch/entscheid/ge_gerichte_ACPR_846_2019</w:t>
      </w:r>
    </w:p>
    <w:p>
      <w:r>
        <w:t>FR: GE_GERICHTE ACPR/846/2019 du 29 mai 2019</w:t>
      </w:r>
    </w:p>
    <w:p>
      <w:r>
        <w:t>IT: GE_GERICHTE ACPR/846/2019 del 29 maggio 2019</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Fondé, le recours sera donc admis ; partant, l'ordonnance querellée sera annulée et la cause retournée au Ministère public pour qu'il ouvre une instruction.</w:t>
      </w:r>
    </w:p>
    <w:p>
      <w:r>
        <w:rPr>
          <w:b/>
        </w:rPr>
        <w:t>E. 2.1</w:t>
      </w:r>
    </w:p>
    <w:p>
      <w:r>
        <w:t>Selon l'art. 310 al. 1 let. b CPP, le ministère public rend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Bâle 2011, n. 11 ad art. 310). Une décision de non-entrée en matière peut aussi être prononcée, lorsqu'aucun acte d'enquêtes raisonnable ne paraît pouvoir amener des éléments utiles à la procédure, tel est le cas lorsque les actes d'enquêtes paraissent disproportionnés par rapport aux intérêts en jeu (arrêt du Tribunal fédéral 1B_67/2012 du 29 mai 2012 consid. 3.2).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non-entrée en matière est exclue (A. KUHN / Y. JEANNERET (éds), op. cit., n. 8-9 ad art. 310; R. PFISTER-LIECHTI (éd.), La procédure pénale fédérale, Fondation pour la formation continue des juges suisses, Berne 2010, p. 62).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ACPR/54/2013 du 7 février 2013; G. PIQUEREZ / A. MACALUSO, Procédure pénale suisse, 3e édition, Genève 2011, p. 537 n. 1553 et 1555).</w:t>
      </w:r>
    </w:p>
    <w:p>
      <w:r>
        <w:rPr>
          <w:b/>
        </w:rPr>
        <w:t>E. 2.2</w:t>
      </w:r>
    </w:p>
    <w:p>
      <w:r>
        <w:t>Le caractère proportionné de l'enquête à mener est aussi prévu par la jurisprudence relative à l'art. 4 CEDH qui impose "une exigence de célérité et de</w:t>
      </w:r>
    </w:p>
    <w:p>
      <w:r>
        <w:t>- 5/7 - P/7103/2019 diligence raisonnable" (arrêts CEDH Rantsev c. Chypre et Russie du 7 janvier 2010, requête no 25965/04). L'Office Fédéral de la Justice peut également refuser de transmettre une demande suisse si l'importance de l'infraction ne justifie pas la procédure (art. 30 al. 4 EIMP).</w:t>
      </w:r>
    </w:p>
    <w:p>
      <w:r>
        <w:rPr>
          <w:b/>
        </w:rPr>
        <w:t>E. 2.3</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Sur le plan subjectif, l'infraction réprimée par l'art. 217 CP doit être commise intentionnellement (ATF 70 IV 166). L'intention suppose que l'auteur a connu les faits qui fondent son obligation d'entretien ou qu'il en a accepté l'éventualité. Si le devoir d'entretien découle d'une obligation légale, le débiteur se rend coupable du simple fait de la relation familiale de laquelle résulte l'obligation (M. DUPUIS / B. GELLER / G. MONNIER / L. MOREILLON / C. PIGUET / C. BETTEX / D. STOLL (éds), Code pénal - Petit commentaire, Bâle 2012, n. 23 ad art. 217). Le lieu de la commission du délit est le lieu où le débiteur aurait dû fournir sa prestation. Payable en argent, la contribution d'entretien est une dette portable (art. 74 al. 2 ch. 1 CO) et le domicile du bénéficiaire est alors déterminant pour fixer le for de l'action pénale (ATF 108 IV 170, JdT 1983 IV 104).</w:t>
      </w:r>
    </w:p>
    <w:p>
      <w:r>
        <w:rPr>
          <w:b/>
        </w:rPr>
        <w:t>E. 2.4</w:t>
      </w:r>
    </w:p>
    <w:p>
      <w:r>
        <w:t>En l'occurrence, la police n'a procédé à aucune enquête sur le territoire genevois, au motif que la personne citée dans la plainte n'était pas domiciliée en Suisse. Le Ministère public a, quant à lui, estimé que l'audition du mis en cause en Russie, par voie de commission rogatoire, permettrait à ce dernier d'exercer son droit d'être entendu, mais y a renoncé, jugeant une demande d'entraide disproportionnée eu égard aux intérêts en jeu et à la difficulté d'obtenir l'assistance des autorités russes. Si l'on ne saurait minimiser la portée de la difficulté à obtenir l'entraide des autorités russes, telle qu'avancée par le Ministère public, force est toutefois de constater que cette difficulté matérielle liée à l'instruction ne peut, à ce stade, conduire à une non- entrée en matière. En effet, à teneur des éléments figurant au dossier, notamment du jugement du 24 janvier 2013 donnant acte au mis en cause de son engagement à payer une contribution d'entretien en faveur de ses enfants, il semble avoir les moyens financiers lui permettant de l'acquitter, ce qu'il ne fait cependant plus depuis le mois de décembre 2018, accumulant de la sorte un arriéré s'élevant à CHF 52'000.-, à la date du recours. Il existe ainsi une prévention pénale suffisante du chef de violation d'une obligation d'entretien, infraction constitutive d'un délit. De plus, il apparait, sur la base des informations fournies par la partie plaignante, que le mis en cause est</w:t>
      </w:r>
    </w:p>
    <w:p>
      <w:r>
        <w:t>- 6/7 - P/7103/2019 amené à se rendre à Genève – lieu de résidence de ses fils − pour exercer son droit de visite voire pour vaquer à ses occupations professionnelles. Dans ces circonstances, il appartiendra au Ministère public de poursuivre l'instruction en vue d'entendre le mis en cause, en mettant en œuvre tous les actes d'enquêtes complémentaires qu'il estimera nécessaires, cas échéant en émettant un avis de recherche et d'arrestation (art. 210 CPP) à son encontre.</w:t>
      </w:r>
    </w:p>
    <w:p>
      <w:r>
        <w:rPr>
          <w:b/>
        </w:rPr>
        <w:t>E. 3</w:t>
      </w:r>
    </w:p>
    <w:p>
      <w:r>
        <w:t>L'admission du recours ne donne pas lieu à la perception de frais (art. 428 al. 1 CPP), de sorte que le montant de CHF 800.- versé par la recourante à titre de sûretés lui sera restitué.</w:t>
      </w:r>
    </w:p>
    <w:p>
      <w:r>
        <w:rPr>
          <w:b/>
        </w:rPr>
        <w:t>E. 4</w:t>
      </w:r>
    </w:p>
    <w:p>
      <w:r>
        <w:t>La recourante, partie plaignante, qui obtient gain de cause, a sollicité une indemnité pour les dépenses obligatoires occasionnées par la procédure de recours, chiffrée à CHF 1'292.40, TVA comprise, correspondant à trois heures de rédaction de l'écriture de recours au tarif horaire de CHF 400.- pour un collaborateur. En l'espèce, le temps revendiqué paraît en adéquation avec le travail accompli, mais le tarif horaire pratiqué sera réduit à celui admis par la Cour pénale, qui est de CHF 350.- pour l'activité déployée par un collaborateur (ACPR/253/2018 du 4 mai 2018 et ACPR/320/2018 du 6 juin 2018 ainsi que les références citées dans ces arrêts). L'indemnité sera ainsi arrêtée à CHF 1'130.85 (TVA 7.7 % comprise) (art. 433 al. 1 let a et 436 al. 1 CPP) et mise à la charge de l'État (ATF 141 IV 476 consid. 1.1-1.2.; 139 IV 45 consid. 1.2.; ACPR/433/2017 consid. 7.2 in fine). * * * * *</w:t>
      </w:r>
    </w:p>
    <w:p>
      <w:r>
        <w:t>- 7/7 - P/7103/2019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