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ACPR/845/2023 vom 9. Juni 2023</w:t>
      </w:r>
    </w:p>
    <w:p>
      <w:r>
        <w:t>GE Cour de justice, 2023-06-09, FR</w:t>
      </w:r>
    </w:p>
    <w:p>
      <w:r>
        <w:rPr>
          <w:b/>
        </w:rPr>
        <w:t xml:space="preserve">Quelle: </w:t>
      </w:r>
      <w:r>
        <w:t>https://mcp.opencaselaw.ch/entscheid/ge_gerichte_ACPR_845_2023</w:t>
      </w:r>
    </w:p>
    <w:p>
      <w:r>
        <w:t>FR: GE_GERICHTE ACPR/845/2023 du 9 juin 2023</w:t>
      </w:r>
    </w:p>
    <w:p>
      <w:r>
        <w:t>IT: GE_GERICHTE ACPR/845/2023 del 9 giugno 2023</w:t>
      </w:r>
    </w:p>
    <w:p>
      <w:pPr>
        <w:pStyle w:val="Heading2"/>
      </w:pPr>
      <w:r>
        <w:t>Erwägungen</w:t>
      </w:r>
    </w:p>
    <w:p>
      <w:r>
        <w:rPr>
          <w:b/>
        </w:rPr>
        <w:t>E. 1.1</w:t>
      </w:r>
    </w:p>
    <w:p>
      <w:r>
        <w:t>Le recours a été interjeté selon la forme et – les réquisits de l'art 85 al. 2 CPP n'ayant pas été respectés – dans les délais prescrits (art. 385 al. 1 et 396 al. 1 CPP) et concerne une ordonnance sujette à recours auprès de la Chambre de céans (art. 393 al. 1 let. a CPP).</w:t>
      </w:r>
    </w:p>
    <w:p>
      <w:r>
        <w:rPr>
          <w:b/>
        </w:rPr>
        <w:t>E. 1.2</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1.3.1. En matière d’infractions contre le patrimoine – au nombre desquelles figure l’escroquerie –, le détenteur des biens/avoirs menacés dispose du statut de lésé (ATF 148 IV 170 consid. 3.3.1).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w:t>
      </w:r>
    </w:p>
    <w:p>
      <w:r>
        <w:t>- 4/6 - P/12362/2023 détermine de la sorte la victime à des actes préjudiciables à ses intérêts pécuniaires ou à ceux d’un tiers (art. 146 al. 1 CP). 1.3.2. L'infraction de faux dans les titres (art. 251 CP) protège, en tant que bien juridique, d'une part, la confiance particulière placée dans un titre ayant valeur probante dans les rapports juridiques et, d'autre part, la loyauté dans les relations commerciales (ATF 142 IV 119 consid. 2.2). Toutefois, le faux dans les titres peut également porter atteinte à des intérêts individuels. En particulier, une personne peut être considérée comme lésée par un faux dans les titres lorsque le faux vise précisément à lui nuire (ATF 140 IV 155 consid. 3.3.3; 119 Ia 342 consid. 2b). Tel est le cas lorsque le faux est l'un des éléments d'une infraction contre le patrimoine; la personne dont le patrimoine est menacé ou atteint a alors la qualité de lésé (ATF 119 Ia 342 consid. 2b; arrêt du Tribunal fédéral 1B_446/2020 du 27 avril 2021 consid. 3.3).</w:t>
      </w:r>
    </w:p>
    <w:p>
      <w:r>
        <w:rPr>
          <w:b/>
        </w:rPr>
        <w:t>E. 1.4</w:t>
      </w:r>
    </w:p>
    <w:p>
      <w:r>
        <w:t>En l'espèce, la recourante a déposé plainte des chefs d'escroquerie et de faux dans les titres. Les faits allégués à l'appui ne permettent toutefois pas de retenir qu'elle serait directement lésée par ces infractions. En effet, les agissements dénoncés concernent l'envoi, à l'organisation irlandaise C______, d'un courriel émanant soi-disant d'elle-même mais comportant des coordonnées bancaires falsifiées. L'objectif visé – et, semblerait-il, atteint – par le ou les auteur(s) était de tromper ladite organisation pour qu'elle verse le montant de la facture vers un compte tiers. C'est ainsi cette dernière qui a effectué un acte de disposition contraire à ses intérêts; la recourante n'est touchée, pour sa part, que d'une manière indirecte, par le non-paiement de sa facture. Du reste, C______ a déposé plainte pénale pour ces faits en Irlande. Par conséquent, la recourante ne dispose pas d'un intérêt juridique à recourir au sens de l'art. 382 al. 1 CPP. Le recours est donc irrecevable, sous cet aspect.</w:t>
      </w:r>
    </w:p>
    <w:p>
      <w:r>
        <w:rPr>
          <w:b/>
        </w:rPr>
        <w:t>E. 2</w:t>
      </w:r>
    </w:p>
    <w:p>
      <w:r>
        <w:t>Les faits dénoncés pourraient également tomber sous le coup des infractions d'utilisation frauduleuse d'un ordinateur (art. 147 CP) et/ou d'accès indu à un système informatique (art. 143bis CP), pour lesquelles la recourante disposerait a priori d'un intérêt juridiquement protégé à agir. Cependant, la recourante a déclaré n'avoir détecté aucune trace de piratage de ses serveurs. Partant, l'ordonnance de non-entrée en matière est justifiée, sous cet angle également.</w:t>
      </w:r>
    </w:p>
    <w:p>
      <w:r>
        <w:rPr>
          <w:b/>
        </w:rPr>
        <w:t>E. 3</w:t>
      </w:r>
    </w:p>
    <w:p>
      <w:r>
        <w:t>La recourante, qui succombe, supportera les frais envers l'État, fixés en intégralité à CHF 1'000.- (art. 428 al. 1 CPP et 13 al. 1 du Règlement fixant le tarif des frais en matière pénale, RTFMP ; E 4 10.03). * * * * *</w:t>
      </w:r>
    </w:p>
    <w:p>
      <w:r>
        <w:t>- 5/6 - P/12362/2023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