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ACPR/845/2022 vom 23. Juni 2022</w:t>
      </w:r>
    </w:p>
    <w:p>
      <w:r>
        <w:t>GE Cour de justice, 2022-06-23, FR</w:t>
      </w:r>
    </w:p>
    <w:p>
      <w:r>
        <w:rPr>
          <w:b/>
        </w:rPr>
        <w:t xml:space="preserve">Quelle: </w:t>
      </w:r>
      <w:r>
        <w:t>https://mcp.opencaselaw.ch/entscheid/ge_gerichte_ACPR_845_2022</w:t>
      </w:r>
    </w:p>
    <w:p>
      <w:r>
        <w:t>FR: GE_GERICHTE ACPR/845/2022 du 23 juin 2022</w:t>
      </w:r>
    </w:p>
    <w:p>
      <w:r>
        <w:t>IT: GE_GERICHTE ACPR/845/2022 del 23 giugno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2.1</w:t>
      </w:r>
    </w:p>
    <w:p>
      <w:r>
        <w:t>Conformément à l'art. 310 al. 1 let. a CPP et en vertu du principe "in dubio pro duriore",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w:t>
      </w:r>
    </w:p>
    <w:p>
      <w:r>
        <w:rPr>
          <w:b/>
        </w:rPr>
        <w:t>E. 2.2</w:t>
      </w:r>
    </w:p>
    <w:p>
      <w:r>
        <w:t>Selon l'art. 144 al. 1 CP, se rend coupable de dommage à la propriété celui qui aura endommagé, détruit ou mis hors d'usage une chose appartenant à autrui ou frappée d'un droit d'usage ou d'usufruit au bénéfice d'autrui et sera puni sur plainte. L'art. 144 CP institue une infraction intentionnelle, l'auteur doit avoir la conscience et la volonté, au moins sous la forme du dol éventuel, de s'en prendre à la chose d'autrui (M. DUPUIS / L. MOREILLON / C. PIGUET / S. BERGER / M. MAZOU / V. RODIGARI (éds), op. cit., n. 16 ad art. 144 CP), les dommages causés par négligence n'étant pas punissables.</w:t>
      </w:r>
    </w:p>
    <w:p>
      <w:r>
        <w:rPr>
          <w:b/>
        </w:rPr>
        <w:t>E. 2.3</w:t>
      </w:r>
    </w:p>
    <w:p>
      <w:r>
        <w:t>À teneur de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 même, envisage le résultat de son acte comme possible et l'accepte au cas où il se produirait mais également lorsque le résultat dommageable s'impose à l'auteur de manière si vraisemblable que son comportement ne peut raisonnablement être interprété que comme l'acceptation de ce résultat (arrêt du Tribunal fédéral 6B_718/2017 du 17 janvier 2018 consid. 2.1 ; ATF 137 IV 1 consid. 4.2.3 ; ATF 133 IV 9 = JdT 2007 I 573 consid. 4.1; 131 IV 1 consid. 2.2 ).</w:t>
      </w:r>
    </w:p>
    <w:p>
      <w:r>
        <w:t>- 5/7 - P/22869/2021</w:t>
      </w:r>
    </w:p>
    <w:p>
      <w:r>
        <w:rPr>
          <w:b/>
        </w:rPr>
        <w:t>E. 2.4</w:t>
      </w:r>
    </w:p>
    <w:p>
      <w:r>
        <w:t>En l'espèce, à teneur des éléments du dossier, le recourant serait responsable de l'accident qui a causé le dommage à son véhicule. Même à le suivre et à considérer que ce serait le mis en cause qui aurait déboité sur la droite et endommagé sa voiture, le recourant déclare que cette manœuvre avait été faite par B______ pour éviter une collision frontale. Ce faisant, ce dernier n'avait ainsi pas l'intention de causer un dommage au recourant, même par dol éventuel, lequel est une conséquence collatérale à la suite de l'accident de la circulation impliquant les parties.</w:t>
      </w:r>
    </w:p>
    <w:p>
      <w:r>
        <w:rPr>
          <w:b/>
        </w:rPr>
        <w:t>E. 3</w:t>
      </w:r>
    </w:p>
    <w:p>
      <w:r>
        <w:t>Justifiée, l'ordonnance querellée sera donc confirmée.</w:t>
      </w:r>
    </w:p>
    <w:p>
      <w:r>
        <w:rPr>
          <w:b/>
        </w:rPr>
        <w:t>E. 4</w:t>
      </w:r>
    </w:p>
    <w:p>
      <w:r>
        <w:t>Le recourant, qui succombe, supportera les frais envers l'État, fixés en totalité à CHF 900.- (art. 428 al. 1 CPP et 13 al. 1 du Règlement fixant le tarif des frais en matière pénale, RTFMP ; E 4 10.03), émolument de décision compris. * * * * *</w:t>
      </w:r>
    </w:p>
    <w:p>
      <w:r>
        <w:t>- 6/7 - P/22869/2021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