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ACPR/844/2022 vom 14. Juni 2022</w:t>
      </w:r>
    </w:p>
    <w:p>
      <w:r>
        <w:t>GE Cour de justice, 2022-06-14, FR</w:t>
      </w:r>
    </w:p>
    <w:p>
      <w:r>
        <w:rPr>
          <w:b/>
        </w:rPr>
        <w:t xml:space="preserve">Quelle: </w:t>
      </w:r>
      <w:r>
        <w:t>https://mcp.opencaselaw.ch/entscheid/ge_gerichte_ACPR_844_2022</w:t>
      </w:r>
    </w:p>
    <w:p>
      <w:r>
        <w:t>FR: GE_GERICHTE ACPR/844/2022 du 14 juin 2022</w:t>
      </w:r>
    </w:p>
    <w:p>
      <w:r>
        <w:t>IT: GE_GERICHTE ACPR/844/2022 del 14 giugno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w:t>
      </w:r>
    </w:p>
    <w:p>
      <w:r>
        <w:t>- 5/9 - P/12699/2022 l'infraction ne soit manifestement pas réalisé pour que la non-entrée en matière se justifie (A. KUHN / Y. JEANNERET / C. PERRIER DEPEURSINGE (éds), Commentaire romand : Code de procédure pénale suisse, 2ème éd., Bâle 2019, n. 5 et 8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 C. PERRIER DEPEURSINGE (éds), op. cit., n. 10 ad art. 310 ; DCPR/104/2011 du 11 mai 2011).</w:t>
      </w:r>
    </w:p>
    <w:p>
      <w:r>
        <w:rPr>
          <w:b/>
        </w:rPr>
        <w:t>E. 2.2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137 IV 326 consid. 3.3.1 p. 328; 134 IV 216 consid. 4.1 p. 218).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6B_70/2016 du 2 juin 2016 consid. 4.3.4 non publié aux ATF 142 IV 315). Certes, faire notifier un commandement de payer lorsqu'on est fondé à réclamer une somme est licite. En revanche, utiliser un tel procédé comme moyen de pression est clairement abusif, donc illicite (cf. ATF 115 III 18 consid. 3 p. 20 s., 81 consid. 3b p. 87 s.; arrêt 6B_70/2016 précité consid. 4.3.4). Le fondement de la créance invoquée, le montant indiqué sur le commandement de payer et le contexte de sa notification sont autant d'éléments pertinents dans l'appréciation des circonstances du cas d'espèce. S'agissant du fondement de la créance déduite en poursuite, il suffit que la situation juridique ne soit pas d'une clarté indiscutable pour admettre la licéité, sous l'angle de l'infraction de contrainte, du commandement de payer (R. JORDAN, Les poursuites injustifiées: point de situation, in Revue de l'avocat 2017 p. 131 s. et les arrêts cités).</w:t>
      </w:r>
    </w:p>
    <w:p>
      <w:r>
        <w:t>- 6/9 - P/12699/2022 À titre d'exemples, le créancier abuse manifestement de son droit en poursuivant le débiteur lorsqu'il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 même, qu'il n'agit pas envers le véritable débiteur (arrêt du Tribunal fédéral 6B_378/2016 du 15 décembre 2016 = SJ 2017 I 373).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est constitutive d'une tentative de contrainte (arrêt du Tribunal fédéral 6B_8/2017 du 15 août 2017 consid. 2.2; cf. également les faits à la base de l'arrêt du Tribunal fédéral 6S.853/2000 du 9 mai 2001). Il en va de même de la notification d'un commandement de payer de plus de CHF 800'000.-, somme qualifiée d'exorbitante par la Chambre pénale d'appel et de révision, ceci plus de 13 ans après les faits et sans démarches judiciaires parallèles (arrêt du Tribunal fédéral 6B_153/2017 du 28 novembre 2017 consid. 3.2.2).</w:t>
      </w:r>
    </w:p>
    <w:p>
      <w:r>
        <w:rPr>
          <w:b/>
        </w:rPr>
        <w:t>E. 2.3</w:t>
      </w:r>
    </w:p>
    <w:p>
      <w:r>
        <w:t>En l'espèce, plusieurs échanges de correspondances entre avocats, relatifs aux prétentions du mis en cause à l'encontre de la recourante, ont précédé l'envoi du commandement de payer du 18 décembre 2021 et le dépôt par-devant le Tribunal civil des requêtes de conciliation des 10 décembre 2021 et 28 mars 2022. Dans ce cadre, le mis en cause a étayé ses prétentions – en particulier dans l'annexe à son courrier du 11 juin 2021 – qui consistaient en un remboursement de factures, prétendument payées par lui, en faveur de la recourante, durant la période immédiatement postérieure au dies a quo de la contribution d'entretien. Indépendamment de leur bienfondé, de telles prétentions ne peuvent pas être qualifiées de fantaisistes. Le fait que le mis en cause semble ne pas les avoir soulevées dans le cadre de la procédure de mesures protectrices de l'union conjugale ne les rend pas, pour autant, manifestement dénuées de tout fondement à l'avenir. En cas de divorce, il n'est pas exclu que la prise en charge de frais par un époux en faveur de l'autre puisse être pertinente lors de la liquidation du régime matrimonial. Le dépôt d'une requête de conciliation le 28 mars 2022, en lien avec le montant réclamé par le commandement de payer du 18 décembre 2021, montre que ce dernier n'a pas été utilisé à des fins détournées, par exemple dans le but de nuire à la réputation de la recourante ou de l'entraver dans d'autres démarches, mais s'inscrivait dans le processus ordinaire de recouvrement d'une créance. Par ailleurs, le montant</w:t>
      </w:r>
    </w:p>
    <w:p>
      <w:r>
        <w:t>- 7/9 - P/12699/2022 exigé par la voie de la poursuite repose sur des éléments concrets, à savoir des factures, et est en adéquation avec la somme de celles-ci. Enfin, à teneur du dossier, on ne voit pas quel résultat le mis en cause aurait cherché à obtenir, hormis celui de faire valoir ses prétentions : à la réception du commandement de payer litigieux, le 18 décembre 2021, une autorité judiciaire de deuxième instance avait déjà arrêté le montant de la contribution d'entretien due à la recourante. Partant, le mis en cause ne pouvait plus espérer de concessions de la recourante sur ce point. Au vu des circonstances, l'envoi du commandement de payer du 18 décembre 2021 ne constituait pas un moyen de pression abusif. Tant le moyen employé, qui fait suite à plusieurs échanges entre avocats lors desquels les prétentions litigieuses ont été expliquées, que le but poursuivi, à savoir le paiement de prétentions éventuellement dues par la recourante, ne revêtent aucun caractère illicite, sous l'angle du droit pénal. L'audition et la confrontation des parties, sollicitées par la recourante, ne seraient pas susceptibles de conduire à une appréciation différente de ce qui précède, chaque partie ayant largement expliqué sa position lors des échanges de courriers qui ont suivi le jugement du Tribunal civil du 17 mai 2021. C'est donc à bon droit que le Ministère public a conclu que les éléments constitutifs de la tentative de contrainte n'étaient pas réalisés.</w:t>
      </w:r>
    </w:p>
    <w:p>
      <w:r>
        <w:rPr>
          <w:b/>
        </w:rPr>
        <w:t>E. 3</w:t>
      </w:r>
    </w:p>
    <w:p>
      <w:r>
        <w:t>Justifiée, l'ordonnance querellée sera donc confirmée.</w:t>
      </w:r>
    </w:p>
    <w:p>
      <w:r>
        <w:rPr>
          <w:b/>
        </w:rPr>
        <w:t>E. 4</w:t>
      </w:r>
    </w:p>
    <w:p>
      <w:r>
        <w:t>La recourante, qui succombe, supportera les frais envers l'État, fixés en totalité à CHF 900.- (art. 428 al. 1 CPP et 13 al. 1 du Règlement fixant le tarif des frais en matière pénale, RTFMP ; E 4 10.03). * * * * *</w:t>
      </w:r>
    </w:p>
    <w:p>
      <w:r>
        <w:t>- 8/9 - P/12699/2022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