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ACPR/843/2022 vom 22. Juli 2022</w:t>
      </w:r>
    </w:p>
    <w:p>
      <w:r>
        <w:t>GE Cour de justice, 2022-07-22, FR</w:t>
      </w:r>
    </w:p>
    <w:p>
      <w:r>
        <w:rPr>
          <w:b/>
        </w:rPr>
        <w:t xml:space="preserve">Quelle: </w:t>
      </w:r>
      <w:r>
        <w:t>https://mcp.opencaselaw.ch/entscheid/ge_gerichte_ACPR_843_2022</w:t>
      </w:r>
    </w:p>
    <w:p>
      <w:r>
        <w:t>FR: GE_GERICHTE ACPR/843/2022 du 22 juillet 2022</w:t>
      </w:r>
    </w:p>
    <w:p>
      <w:r>
        <w:t>IT: GE_GERICHTE ACPR/843/2022 del 22 luglio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w:t>
      </w:r>
    </w:p>
    <w:p>
      <w:r>
        <w:rPr>
          <w:b/>
        </w:rPr>
        <w:t>E. 2.2</w:t>
      </w:r>
    </w:p>
    <w:p>
      <w:r>
        <w:t>En tant que le recourant se prévaut de l'infraction à l'art. 179septies CP, son recours est irrecevable.</w:t>
      </w:r>
    </w:p>
    <w:p>
      <w:r>
        <w:rPr>
          <w:b/>
        </w:rPr>
        <w:t>E. 2.2.1</w:t>
      </w:r>
    </w:p>
    <w:p>
      <w:r>
        <w:t>La qualité pour recourir, fondée sur un intérêt juridiquement protégé à la modification ou à l'annulation de la décision querellée (art. 382 al. 1 CPP), existe pour autant que le recourant soit directement et personnellement lésé par l'infraction dénoncée (art. 115 al. 1 CPP), ce qui implique en principe qu'il soit titulaire du bien juridiquement protégé touché par cette dernière (arrêt du Tribunal fédéral 1B_678/2011 du 30 janvier 2012, consid. 2.1).</w:t>
      </w:r>
    </w:p>
    <w:p>
      <w:r>
        <w:t>- 4/9 - P/15520/2022 Sont toujours considérées comme des lésés les personnes qui ont qualité pour déposer plainte pénale (art. 115 al. 2 CPP).</w:t>
      </w:r>
    </w:p>
    <w:p>
      <w:r>
        <w:rPr>
          <w:b/>
        </w:rPr>
        <w:t>E. 2.2.2</w:t>
      </w:r>
    </w:p>
    <w:p>
      <w:r>
        <w:t>L'art. 179septies CP prévoit que celui qui, par méchanceté ou par espièglerie, aura utilisé abusivement une installation de télécommunication pour inquiéter un tiers ou pour l'importuner sera, sur plainte, puni de l'amende. L'utilisation est abusive lorsqu'il apparaît que l'auteur ne tend pas vraiment à une communication d'informations ou de pensées, mais emploie plutôt ce moyen d'entrer en contact avec autrui dans le but d'importuner ou inquiéter la personne appelée (arrêt du Tribunal fédéral 6B_717/2020 du 26 novembre 2020, consid. 3.1). Le but poursuivi par cette disposition est de protéger la personne contre l'utilisation abusive des moyens de télécommunication (ATF 121 IV 131 consid. 5b; M. DUPUIS / L. MOREILLON / C. PIGUET / S. BERGER / M. MAZOU / V. RODIGARI (éds), Code pénal – Petit commentaire, 2e éd., Bâle 2017, n. 1 ad art. 179septies). Ainsi, cette disposition protège le droit personnel de la victime à ne pas être importunée par certains actes commis au moyen du téléphone, en particulier contre des dérangements et désagréments commis au moyen d'une installation de télécommunication, la perturbant ainsi dans sa tranquillité et dans sa personnalité. Le législateur voulait avant tout lutter contre des appels importuns nocturnes et contre des propos indécents au téléphone (A. MACALUSO / L. MOREILLON / N. QUELOZ (éds), Commentaire romand, Code pénal II, vol. II, Partie spéciale: art. 111-392 CP, Bâle 2017, n. 3 ad art. 179septies CP). Le droit de déposer plainte appartient à la personne importunée ou inquiétée, à savoir le détenteur ou l'utilisateur de l'installation de télécommunications (A. DONATSCH (éd.), StGB/JStG Kommentar – mit weiteren Erlassen und Kommentar zu den Strafbestimmungen des SVG, BetmG, AIG und OBG, 21e éd., Zurich 2022, n. 7 ad art. 179septies CP).</w:t>
      </w:r>
    </w:p>
    <w:p>
      <w:r>
        <w:rPr>
          <w:b/>
        </w:rPr>
        <w:t>E. 2.2.3</w:t>
      </w:r>
    </w:p>
    <w:p>
      <w:r>
        <w:t>En l'espèce, le recourant estime disposer de la qualité pour porter plainte, étant donné que l'auteure du message visait à lui nuire. Toutefois, il est constant que le message litigieux ne lui a pas été envoyé mais à B______, de sorte que c'est elle qui a été, par hypothèse, importunée ou inquiétée en tant que personne appelée. Le recourant ne prétend pas non plus être le détenteur du raccordement, ni son utilisateur. Partant, sa qualité pour recourir doit être niée s'agissant d'une éventuelle infraction à l'art. 179septies CP.</w:t>
      </w:r>
    </w:p>
    <w:p>
      <w:r>
        <w:rPr>
          <w:b/>
        </w:rPr>
        <w:t>E. 2.3</w:t>
      </w:r>
    </w:p>
    <w:p>
      <w:r>
        <w:t>En tant qu'il conteste le refus du Ministère public d'entrer en matière sur les infractions dénoncées de diffamation (art. 173 CP), de calomnie (art. 174 CP) et de</w:t>
      </w:r>
    </w:p>
    <w:p>
      <w:r>
        <w:t>- 5/9 - P/15520/2022 contrainte (art. 181 CP), le recourant, plaignant (art. 104 al. 1 let. b CPP), a la qualité pour agir, ayant un intérêt juridiquement protégé à la modification ou à l'annulation de la décision querellée (art. 382 al. 1 CPP). Le recours est ainsi recevable sur ces aspects.</w:t>
      </w:r>
    </w:p>
    <w:p>
      <w:r>
        <w:rPr>
          <w:b/>
        </w:rPr>
        <w:t>E. 3</w:t>
      </w:r>
    </w:p>
    <w:p>
      <w:r>
        <w:t>Se pose en outre la question de savoir si les faits dénoncés par le plaignant ont un lien suffisant avec la Suisse.</w:t>
      </w:r>
    </w:p>
    <w:p>
      <w:r>
        <w:rPr>
          <w:b/>
        </w:rPr>
        <w:t>E. 3.1</w:t>
      </w:r>
    </w:p>
    <w:p>
      <w:r>
        <w:t>À teneur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3.2</w:t>
      </w:r>
    </w:p>
    <w:p>
      <w:r>
        <w:t>La notion de résultat a évolué au fil de la jurisprudence. À l'origine, le Tribunal fédéral a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consid. 3c à g p. 327 ss). Cette définition stricte a toutefois été tempérée dans différents arrêts subséquents (cf. ATF 128 IV 145 consid. 2e p. 153 s.). Dans l'ATF 125 IV 177, soit un cas où deux écrits avaient été envoyés par la poste depuis l'Allemagne à deux personnes en Suisse, qui avaient pris connaissance de ces propos en Suisse, le Tribunal fédéral a considéré que la diffamation (art. 173 CP) n'était consommée qu'à partir du moment où un tiers avait pris connaissance des propos attentatoires à l'honneur. Même si l'on admettait que la prise de connaissance des propos attentatoires ne constituait pas un résultat au sens technique du délit matériel, la juridiction suisse devait être admise dans un cas comme celui-là.</w:t>
      </w:r>
    </w:p>
    <w:p>
      <w:r>
        <w:rPr>
          <w:b/>
        </w:rPr>
        <w:t>E. 3.3</w:t>
      </w:r>
    </w:p>
    <w:p>
      <w:r>
        <w:t>En l'espèce, le message contenant les propos litigieux a été envoyé, depuis un raccordement français, à B______ qui, selon les dires du recourant, est domiciliée en France et utilise un raccordement de ce pays. Il ne ressort pas des pièces du dossier que la précitée ait pris connaissance de ces propos en Suisse. Le recourant s'est limité à fournir deux anciens numéros suisses – ainsi qu'un dernier lieu de travail à Genève – d'une personne qu'il soupçonne être l'auteure des actes reprochés, ce qui n'est manifestement pas suffisant à créer un rattachement avec la Suisse. La maxime de l'instruction d'office (art. 6 CPP) ne dispensait pas le recourant de fournir aux autorités de poursuites pénales les éléments pertinents pour fonder l'existence de leur compétence, ce d'autant qu'il paraît disproportionné de procéder à</w:t>
      </w:r>
    </w:p>
    <w:p>
      <w:r>
        <w:t>- 6/9 - P/15520/2022 des actes d'instruction à l'étranger, par la voie de commission rogatoire, pour une infraction dont rien n'indique qu'elle ait un point de rattachement avec la Suisse. Il résulte de ce qui précède que la non-entrée en matière pour une éventuelle infraction aux art. 173 et 174 CP sera confirmée, par substitution de motifs. En revanche, dans la mesure où le recourant – domicilié à Genève – allègue que les actes de la personne inconnue visaient à l'entraver dans sa liberté d'avoir une relation avec sa compagne, il existe un rattachement suffisant au territoire suisse. En effet, la contrainte étant un délit matériel, l'auteur est également punissable s'il se trouve à l'étranger au moment où il commet l'infraction, pourvu que la victime se trouve en Suisse et que le résultat de l'infraction s'y produise (M. DUPUIS / L. MOREILLON / C. PIGUET / S. BERGER / M. MAZOU / V. RODIGARI (éds), op. cit. n. 2 ad art. 181). Les autorités genevoises sont ainsi compétentes pour poursuivre une éventuelle infraction à l'art. 181 CP, qui sera examinée au considérant qui suit.</w:t>
      </w:r>
    </w:p>
    <w:p>
      <w:r>
        <w:rPr>
          <w:b/>
        </w:rPr>
        <w:t>E. 4.1</w:t>
      </w:r>
    </w:p>
    <w:p>
      <w:r>
        <w:t>Selon l'art. 310 al. 1 let. a CPP, le ministère public rend immédiatement une ordonnance de non-entrée en matière lorsqu'il ressort de la plainte que les éléments constitutifs d'une infraction ne sont pas réalisés.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prononcées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contrainte peut être réalisée par la somme de plusieurs comportements distincts de l'auteur, par exemple lorsque celui-ci importune sa victime par sa présence de manière répétée pendant une période prolongée (cf. au sujet de la notion de</w:t>
      </w:r>
    </w:p>
    <w:p>
      <w:r>
        <w:t>- 7/9 - P/15520/2022 "stalking" ou harcèlement obsessionnel: ATF 141 IV 437 consid. 3.2.2; 129 IV 262 consid. 2.3-2.5).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l'intensité requise par l'art. 181 CP peut néanmoins résulter du cumul de comportements divers ou de la répétition de comportements identiques sur une durée prolongée (cf. ATF 141 IV 437 consid. 3.2.2; arrêt du Tribunal fédéral 6B_568/2019 du 17 septembre 2019 consid. 4.1).</w:t>
      </w:r>
    </w:p>
    <w:p>
      <w:r>
        <w:rPr>
          <w:b/>
        </w:rPr>
        <w:t>E. 4.3</w:t>
      </w:r>
    </w:p>
    <w:p>
      <w:r>
        <w:t>En l'espèce, on peine à voir le rapport que souhaite faire le recourant entre les messages envoyés à son ancienne compagne par un(e) inconnu(e) et une éventuelle contrainte commise à son encontre. Il ne ressort en effet pas des pièces produites que la personne inconnue demandait au recourant – par l'intermédiaire de son ancienne compagne – d'adopter un comportement particulier. C'est également en vain que le recourant se dit victime d'une contrainte sous forme de "stalking", dans la mesure où lui-même n'a pas reçu le message litigieux, et que, de toute manière, les faits dénoncés ne revêtent pas l'intensité requise par la jurisprudence sus-visée. Au vu de ce qui précède, faute de prévention pénale suffisante de contrainte, point n'est besoin de procéder aux actes d'enquête sollicités par le recourant. Le recours est ainsi infondé sur ce point également.</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E 4 10.03). * * * * *</w:t>
      </w:r>
    </w:p>
    <w:p>
      <w:r>
        <w:t>- 8/9 - P/15520/2022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