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ACPR/843/2020 vom 18. August 2020</w:t>
      </w:r>
    </w:p>
    <w:p>
      <w:r>
        <w:t>GE Cour de justice, 2020-08-18, FR</w:t>
      </w:r>
    </w:p>
    <w:p>
      <w:r>
        <w:rPr>
          <w:b/>
        </w:rPr>
        <w:t xml:space="preserve">Quelle: </w:t>
      </w:r>
      <w:r>
        <w:t>https://mcp.opencaselaw.ch/entscheid/ge_gerichte_ACPR_843_2020</w:t>
      </w:r>
    </w:p>
    <w:p>
      <w:r>
        <w:t>FR: GE_GERICHTE ACPR/843/2020 du 18 août 2020</w:t>
      </w:r>
    </w:p>
    <w:p>
      <w:r>
        <w:t>IT: GE_GERICHTE ACPR/843/2020 del 18 agosto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d’une violation de son droit d’être entendu. Il fait valoir qu’il n’a pas pu participer à l’administration des preuves, en particulier à l’audition du mis en cause et à celle de F______, avant que le Ministère public ne rende l’ordonnance querellée.</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2.2</w:t>
      </w:r>
    </w:p>
    <w:p>
      <w:r>
        <w:t>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2.3</w:t>
      </w:r>
    </w:p>
    <w:p>
      <w:r>
        <w:t>En l’occurrence, les auditions de B______ et de F______ ont été effectuées dans le cadre des premières investigations, de sorte que le plaignant n'avait aucun droit à y participer. Le Ministère public était ensuite fondé à rendre une ordonnance de non- entrée en matière, sans interpeller préalablement le recourant.</w:t>
      </w:r>
    </w:p>
    <w:p>
      <w:r>
        <w:t>- 7/11 - P/12080/2019 Pour le surplus, l’intéressé a pu faire valoir devant la Chambre de céans les observations qu’il estimait nécessaires au sujet des allégués du mis en cause, étant en possession d’une copie intégrale du dossier. Il s’ensuit que le grief doit être rejeté.</w:t>
      </w:r>
    </w:p>
    <w:p>
      <w:r>
        <w:rPr>
          <w:b/>
        </w:rPr>
        <w:t>E. 3</w:t>
      </w:r>
    </w:p>
    <w:p>
      <w:r>
        <w:t>Le recourant estime qu’il existe une prévention suffisante du chef d’escroquerie.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 R. PFISTER-LIECHTI (éd.), La procédure pénale fédérale, Fondation pour la formation continue des juges suisses,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w:t>
      </w:r>
    </w:p>
    <w:p>
      <w:r>
        <w:t>- 8/11 - P/12080/2019 fédéral 6B_417/2017 du 10 janvier 2018 consid. 2.1.2 ; 6B_185/2016 du 30 novembre 2016 consid. 2.1.2 et les références citées).</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3.3</w:t>
      </w:r>
    </w:p>
    <w:p>
      <w:r>
        <w:t>En l’espèce, il apparaît que les questions relatives à la garantie des défauts dans le cadre de la vente du véhicule litigieux ainsi qu'aux prétendues violations des obligations contractuelles du mis en cause relèvent de la justice civile. Il ressort en outre – et surtout – de l'ensemble des pièces figurant au dossier que les éléments constitutifs de l'infraction d'escroquerie ne sont pas réunis, à l'instar de ce qu'a retenu le Ministère public. En effet, aucun élément du dossier ne permet d'établir à satisfaction de droit que le mis en cause aurait adopté un comportement dolosif dans le cadre de la vente du véhicule litigieux. Rien n'indique non plus qu'il aurait eu une connaissance effective des défauts et qu'il les aurait sciemment cachés au recourant. Le mis en cause soutient, au contraire, avoir ignoré l'existence de ceux-ci et affirme que la voiture a passé avec succès le contrôle technique, le mois précédant sa vente.</w:t>
      </w:r>
    </w:p>
    <w:p>
      <w:r>
        <w:t>- 9/11 - P/12080/2019 Pour le surplus, même à supposer que le mis en cause ait tu les défauts qui affectaient la chose vendue, il n'y aurait pas encore eu tromperie astucieuse. Il n'a, en effet, procédé à aucune mise en scène subtile, n'a eu recours à aucun procédé raffiné et n'a fait preuve d'aucune rouerie particulière pour endormir la méfiance du recourant et le dissuader de vérifier l'état du véhicule. Bien plutôt, il ressort de la plainte et des messages échangés entre les protagonistes, que le recourant a pu examiner la voiture et effectué une course d'essai au volant de celle-ci avant de l'acheter. Enfin, il n’y avait pas de rapport de confiance particulier entre les parties qui aurait impliqué que le recourant renonce aux vérifications nécessaires quant à l’état de la chose proposée à la vente. À cet égard, il sied de relever que le véhicule datait de 1982 et affichait un certain nombre de kilomètres au compteur. Le recourant ne pouvait ainsi pas espérer acquérir un véhicule en parfait état de marche ou à tout le moins, aurait dû se montrer plus prudent à ce sujet, ce d'autant plus qu'il lui a été vendu sans garantie. Il lui aurait appartenu d'en vérifier attentivement l'état ou de le faire vérifier par un tiers, s'il ne bénéficiait pas de l'expertise technique suffisante en la matière (cf. Cour d'appel pénale du Tribunal cantonal vaudois, décision n°197 du 21 mars 2016, consid. 3.3). Au vu de ce qui précède, force est ainsi de constater qu’aucun élément au dossier ne permet de retenir, ne serait-ce que sous l’angle de la vraisemblance, que le mis en cause aurait eu connaissance des défauts affectant le véhicule litigieux et qu’il aurait trompé, de surcroît astucieusement, le recourant. Par conséquent, la prévention pénale d’escroquerie était manifestement insuffisante pour ouvrir une procédure pénale et aucune mesure d'instruction ne paraît être à même de modifier ce constat. La décision du Ministère public ne prête dès lors pas le flanc à la critique.</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r>
        <w:t>- 10/11 - P/12080/2019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