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ACPR/842/2022 vom 23. August 2022</w:t>
      </w:r>
    </w:p>
    <w:p>
      <w:r>
        <w:t>GE Cour de justice, 2022-08-23, FR</w:t>
      </w:r>
    </w:p>
    <w:p>
      <w:r>
        <w:rPr>
          <w:b/>
        </w:rPr>
        <w:t xml:space="preserve">Quelle: </w:t>
      </w:r>
      <w:r>
        <w:t>https://mcp.opencaselaw.ch/entscheid/ge_gerichte_ACPR_842_2022</w:t>
      </w:r>
    </w:p>
    <w:p>
      <w:r>
        <w:t>FR: GE_GERICHTE ACPR/842/2022 du 23 août 2022</w:t>
      </w:r>
    </w:p>
    <w:p>
      <w:r>
        <w:t>IT: GE_GERICHTE ACPR/842/2022 del 23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ce grief sera rejeté.</w:t>
      </w:r>
    </w:p>
    <w:p>
      <w:r>
        <w:rPr>
          <w:b/>
        </w:rPr>
        <w:t>E. 4.1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t>- 7/10 - P/24616/2019</w:t>
      </w:r>
    </w:p>
    <w:p>
      <w:r>
        <w:rPr>
          <w:b/>
        </w:rPr>
        <w:t>E. 4.2</w:t>
      </w:r>
    </w:p>
    <w:p>
      <w:r>
        <w:t>Se rend coupable de viol (art. 190 CP), quiconque, notamment en usant de menace ou de violence, en exerçant sur sa victime des pressions d'ordre psychique ou en la mettant hors d'état de résister, aura contraint une personne de sexe féminin à subir l'acte sexuel.</w:t>
      </w:r>
    </w:p>
    <w:p>
      <w:r>
        <w:rPr>
          <w:b/>
        </w:rPr>
        <w:t>E. 4.2.1</w:t>
      </w:r>
    </w:p>
    <w:p>
      <w:r>
        <w:t>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w:t>
      </w:r>
    </w:p>
    <w:p>
      <w:r>
        <w:rPr>
          <w:b/>
        </w:rPr>
        <w:t>E. 4.2.2</w:t>
      </w:r>
    </w:p>
    <w:p>
      <w:r>
        <w:t>La violence suppose un emploi volontaire de la force physique sur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(arrêt du Tribunal fédéral 6B_894/2021 du 28 mars 2022, destiné à la publication, consid. 3.3)</w:t>
      </w:r>
    </w:p>
    <w:p>
      <w:r>
        <w:rPr>
          <w:b/>
        </w:rPr>
        <w:t>E. 4.2.3</w:t>
      </w:r>
    </w:p>
    <w:p>
      <w:r>
        <w:t>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comparable à celle d'un acte de violence ou d'une menace (ATF 133 IV 49 consid. 6.2) et rendre la soumission de la victime compréhensible (arrêt du Tribunal fédéral 6B_159/2020 du 20 avril 2020 consid. 2.4.3). Au vu des circonstances du cas et de la situation personnelle de la victime, on ne doit pas pouvoir attendre d'elle de résistance, ni</w:t>
      </w:r>
    </w:p>
    <w:p>
      <w:r>
        <w:t>- 8/10 - P/24616/2019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128 IV 97 consid. 2b/aa et cc; arrêt du Tribunal fédéral 6B_583/2017 du 20 décembre 2017 consid. 3.1).</w:t>
      </w:r>
    </w:p>
    <w:p>
      <w:r>
        <w:rPr>
          <w:b/>
        </w:rPr>
        <w:t>E. 4.3</w:t>
      </w:r>
    </w:p>
    <w:p>
      <w:r>
        <w:t>En l'espèce, les deux protagonistes s'accordent à dire qu'ils ont entretenu un rapport sexuel complet le 5 novembre 2019 mais s'opposent sur l'existence d'un consentement de la recourante. À cet égard, l'examen des éléments constitutifs du viol ne se résume pas à déterminer si la personne de sexe féminin était ou non consentante, mais également à établir l'existence de soupçons suffisants attestant d'une contrainte juridiquement pertinente exercée par le prévenu sur sa partenaire pour parvenir à ses fins. Or, quand bien même on retiendrait que la recourante n'était pas consentante, il ne ressort pas du dossier que l'élément de contrainte est réalisé. En effet, l'usage de la force physique par le prévenu – que celui-ci conteste – n'est pas établi. Il n'existe pas de traces cliniques de lésions traumatiques, celles constatées sur la recourante étant trop peu spécifiques pour en connaître leur origine et de surcroît attestées plusieurs jours après les faits. De plus, la recourante s'est peu étendue sur la description des actes de contrainte qu'aurait utilisés le prévenu et sur les gestes de défense qu'elle lui aurait opposés. Elle s'est limitée à indiquer qu'il lui avait décroisé les jambes et retiré ses vêtements avec "force" – ce qu'il conteste également –, sans préciser l'énergie qu'il y aurait investie. Aucun élément objectif ne permet de retenir qu'elle atteignait celui nécessaire au sens de la jurisprudence. Effectivement, selon la recourante, le prévenu lui avait, avec "force", retiré ses collants, mais ceux-ci – pourtant qualifiés de fins lors de l'audience du 9 septembre 2020 – n'ont pas été endommagés. Les autres vêtements, en particulier, sa culotte, que le prévenu aurait tenté de retirer à plusieurs reprises et tirée sur le côté, n'a pas non plus été altérée. S'agissant de sa robe, toujours selon la recourante, le prévenu avait "forcé" pour la retirer. Or, cela peut s'expliquer dans ce contexte par le fait qu'il aurait tenté de l'enlever par le bas, alors qu'elle s'ôtait par le haut. En outre, la recourante n'a pas fait état d'une quelconque résistance – hormis verbale, qui est contestée –. Selon elle, d'abord, ils s'étaient embrassés, ce qu'elle avait accepté et ensuite elle était restée allongée, sans bouger, alors qu'il était allé chercher un préservatif. D'ailleurs, lors de la pénétration, lorsqu'elle lui avait dit avoir mal, il avait continué plus doucement, sans qu'elle ne lui demande plus d'arrêter. Il</w:t>
      </w:r>
    </w:p>
    <w:p>
      <w:r>
        <w:t>- 9/10 - P/24616/2019 n'apparaît pas non plus qu'elle aurait tenté de s'enfuir malgré les occasions qui s'étaient présentées à elle. En effet, à leur arrivée, elle était restée seule dans le salon, au minimum vingt minutes; puis sur le lit, lorsque le prévenu était allé prendre un préservatif dans la salle de bain et après le rapport lorsqu'il était allé se laver et se changer. Elle n'était pas partie alors même qu'elle aurait été en mesure de le faire, la porte de la chambre à coucher étant ouverte et rien ne laissant supposer que la porte de la maison fût verrouillée. D'ailleurs, selon ses propres dires, le prévenu étant "vieux", elle reconnaissait qu'elle aurait même pu lui donner un coup dans ses "parties" et partir, ce qu'elle n'a manifestement pas fait. Par ailleurs, la recourante ne fait état d'aucune menace particulière proférée par le prévenu à son encontre, qui aurait été susceptible d'annihiler sa résistance. Elle ne dépeint pas non plus de comportement de la part de ce dernier de nature à lui faire craindre un préjudice sérieux et propre à la faire céder. Elle l'avait suivie dans la chambre à coucher et s'était assise au bord du lit alors qu'ils s'embrassaient. D'ailleurs, elle s'était imaginée, lorsqu'il était allé chercher un préservatif, qu'il apporterait également un couteau et des amis "cachés", le simple comportement du prévenu ne constituant pas une menace. Ces éléments ne témoignent donc pas d'une attitude d'intimidation. Enfin, la relation entretenue par les parties, leur différence d'âge ou même l'expectative d'un travail par la recourante ne permettent pas de retenir l'existence d'un état de dépendance de celle-ci vis-à-vis du prévenu. Ce d'autant moins qu'en raison de leur relation, elle a réussi à obtenir de l'argent de la part du prévenu. Ainsi, quand bien même l'absence de consentement de la recourante ne serait pas mise en doute, la narration qu'elle a faite des évènements ne permet pas de retenir de contrainte au sens de l'art. 190 CP. Les éléments constitutifs d'un viol ne sont par conséquent pas réalisés et l'ordonnance entreprise est fondée.</w:t>
      </w:r>
    </w:p>
    <w:p>
      <w:r>
        <w:rPr>
          <w:b/>
        </w:rPr>
        <w:t>E. 5</w:t>
      </w:r>
    </w:p>
    <w:p>
      <w:r>
        <w:t>Partant, le recours doit être rejeté.</w:t>
      </w:r>
    </w:p>
    <w:p>
      <w:r>
        <w:rPr>
          <w:b/>
        </w:rPr>
        <w:t>E. 6</w:t>
      </w:r>
    </w:p>
    <w:p>
      <w:r>
        <w:t>La recourante succombe (art. 428, 1ère et 2ème phrases, CPP), mais, dans la mesure où l'assistance judiciaire lui a été accordée, elle sera exonérée des frais de la procédure (art. 136 al. 2 let. b CPP). * * * * *</w:t>
      </w:r>
    </w:p>
    <w:p>
      <w:r>
        <w:t>- 10/10 - P/24616/2019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