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ACPR/841/2019 vom 27. Mai 2019</w:t>
      </w:r>
    </w:p>
    <w:p>
      <w:r>
        <w:t>GE Cour de justice, 2019-05-27, FR</w:t>
      </w:r>
    </w:p>
    <w:p>
      <w:r>
        <w:rPr>
          <w:b/>
        </w:rPr>
        <w:t xml:space="preserve">Quelle: </w:t>
      </w:r>
      <w:r>
        <w:t>https://mcp.opencaselaw.ch/entscheid/ge_gerichte_ACPR_841_2019</w:t>
      </w:r>
    </w:p>
    <w:p>
      <w:r>
        <w:t>FR: GE_GERICHTE ACPR/841/2019 du 27 mai 2019</w:t>
      </w:r>
    </w:p>
    <w:p>
      <w:r>
        <w:t>IT: GE_GERICHTE ACPR/841/2019 del 27 maggio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paraît avoir la qualité pour agir et un intérêt juridiquement protégé à la modification ou à l'annulation de la décision querellée (art. 104 al. 1 let. b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faits et moyens de preuve nouveaux sont recevables devant l'instance de recours, de sorte que les pièces nouvelles produites à l'appui du recours seront admises (arrêts du Tribunal fédéral 1B_368/2014 du 5 février 2015 consid. 3.1 et 3.2 et les références citées).</w:t>
      </w:r>
    </w:p>
    <w:p>
      <w:r>
        <w:rPr>
          <w:b/>
        </w:rPr>
        <w:t>E. 4</w:t>
      </w:r>
    </w:p>
    <w:p>
      <w:r>
        <w:t>Le recourant reproche au Ministère public de ne pas être entré en matière sur sa plainte.</w:t>
      </w:r>
    </w:p>
    <w:p>
      <w:r>
        <w:rPr>
          <w:b/>
        </w:rPr>
        <w:t>E. 4.1</w:t>
      </w:r>
    </w:p>
    <w:p>
      <w:r>
        <w:t>Le ministère public ouvre une instruction lorsqu'il ressort du rapport de police des dénonciations ou, de ses propres constatations, des soupçons suffisants laissant présumer qu'une infraction a été commise (art. 309 al. 1 let. a CPP). Pour ce faire, il doit disposer d'éléments concrets et objectifs, qui peuvent être encore vagues, pourvu qu'ils soient crédibles (C. COQUOZ / A. MOERI, Le CPP : questions choisies après 3 ans de pratique, SJ 2014 II 37, p. 38).</w:t>
      </w:r>
    </w:p>
    <w:p>
      <w:r>
        <w:t>- 4/6 - P/5262/2019</w:t>
      </w:r>
    </w:p>
    <w:p>
      <w:r>
        <w:rPr>
          <w:b/>
        </w:rPr>
        <w:t>E. 4.2</w:t>
      </w:r>
    </w:p>
    <w:p>
      <w:r>
        <w:t>Une non-entrée en matière peut se justifier pour des motifs de faits. Il s'agit des cas où la preuve d'une infraction, soit la réalisation en fait de ses éléments constitutifs, n'est pas apportée par les pièces dont dispose le ministère public (art. 310 al. 1 let. a CPP; arrêt du Tribunal fédéral 6B_544/2016 du 17 novembre 2016 consid. 3.1). Cette condition doit être interprétée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(arrêt du Tribunal fédéral 6B_1051/2018 du 19 décembre 2018 consid. 2.1 et les références citées).</w:t>
      </w:r>
    </w:p>
    <w:p>
      <w:r>
        <w:rPr>
          <w:b/>
        </w:rPr>
        <w:t>E. 4.3</w:t>
      </w:r>
    </w:p>
    <w:p>
      <w:r>
        <w:t>En l'espèce, les faits dénoncés par le recourant ne sont constitutifs d'aucune infraction pénale. En particulier, il ne dénonce aucune soustraction de ses données (art. 143 CP), ni d'accès indu à ses systèmes informatiques (art. 143bis CP), pas plus qu'une détérioration de ses données (art. 144bis CP). Il ne se plaint pas davantage d'une atteinte à sa sphère privée (art. 179 et ss CP). Il ressort des pièces produites par le recourant qu'un basculement du réseau 3G en 2G ou E s'est produit sur son téléphone portable, ainsi que des dérangements ou lenteurs de sa connexion internet. Même contrariant, ce type "d'évènements" n'est pas constitutif d'une infraction pénale, même sous la forme d'une tentative, et l'on ne voit pas quelle mesure d'instruction serait susceptible d'apporter un quelconque élément permettant de soupçonner la commission d'une infraction pénale, le recourant n'en proposant au demeurant aucune.</w:t>
      </w:r>
    </w:p>
    <w:p>
      <w:r>
        <w:rPr>
          <w:b/>
        </w:rPr>
        <w:t>E. 5</w:t>
      </w:r>
    </w:p>
    <w:p>
      <w:r>
        <w:t>Justifiée, l'ordonnance querellée sera donc confirmée.</w:t>
      </w:r>
    </w:p>
    <w:p>
      <w:r>
        <w:rPr>
          <w:b/>
        </w:rPr>
        <w:t>E. 6</w:t>
      </w:r>
    </w:p>
    <w:p>
      <w:r>
        <w:t>Le recourant, qui succombe, supportera les frais envers l'État, qui seront fixés en totalité à CHF 700.- (art. 428 al. 1 CPP et 13 al. 1 du Règlement fixant le tarif des frais en matière pénale, RTFMP ; E 4 10.03). * * * * *</w:t>
      </w:r>
    </w:p>
    <w:p>
      <w:r>
        <w:t>- 5/6 - P/5262/2019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