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ACPR/840/2020 vom 18. September 2020</w:t>
      </w:r>
    </w:p>
    <w:p>
      <w:r>
        <w:t>GE Cour de justice, 2020-09-18, FR</w:t>
      </w:r>
    </w:p>
    <w:p>
      <w:r>
        <w:rPr>
          <w:b/>
        </w:rPr>
        <w:t xml:space="preserve">Quelle: </w:t>
      </w:r>
      <w:r>
        <w:t>https://mcp.opencaselaw.ch/entscheid/ge_gerichte_ACPR_840_2020</w:t>
      </w:r>
    </w:p>
    <w:p>
      <w:r>
        <w:t>FR: GE_GERICHTE ACPR/840/2020 du 18 septembre 2020</w:t>
      </w:r>
    </w:p>
    <w:p>
      <w:r>
        <w:t>IT: GE_GERICHTE ACPR/840/2020 del 18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 ACPR/530/2012 du 27 novembre 2012)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2.2</w:t>
      </w:r>
    </w:p>
    <w:p>
      <w:r>
        <w:t>et 1B_138/2015 du 1er juillet 2015 consid. 2.1).</w:t>
      </w:r>
    </w:p>
    <w:p>
      <w:r>
        <w:rPr>
          <w:b/>
        </w:rPr>
        <w:t>E. 3.1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w:t>
      </w:r>
    </w:p>
    <w:p>
      <w:r>
        <w:rPr>
          <w:b/>
        </w:rPr>
        <w:t>E. 3.2</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3.3</w:t>
      </w:r>
    </w:p>
    <w:p>
      <w:r>
        <w:t>Les autorités pénales notifient leurs prononcés, au domicile du destinataire (art. 87 al. 1 CPP),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3.4</w:t>
      </w:r>
    </w:p>
    <w:p>
      <w:r>
        <w:t>Une personne ne doit s'attendre à la remise d'un prononcé, au sens de l'art. 85 al.</w:t>
      </w:r>
    </w:p>
    <w:p>
      <w:r>
        <w:rPr>
          <w:b/>
        </w:rPr>
        <w:t>E. 3.5</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p. 431 s.; 139 IV 228 consid. 1.1 p. 230 et les références citées ; arrêt du Tribunal fédéral 6B_723/2020 du 2 septembre 2020).</w:t>
      </w:r>
    </w:p>
    <w:p>
      <w:r>
        <w:rPr>
          <w:b/>
        </w:rPr>
        <w:t>E. 3.6</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3.7</w:t>
      </w:r>
    </w:p>
    <w:p>
      <w:r>
        <w:t>En l’espèce, lors de son audition par les gardes-frontière, le 2 janvier 2019, le recourant a mentionné l’adresse de son domicile, soit 1______ à C______, sans</w:t>
      </w:r>
    </w:p>
    <w:p>
      <w:r>
        <w:t>- 7/11 - P/409/2019 préciser la domiciliation chez sa compagne. Le pli contenant l’ordonnance pénale a été envoyé à cette adresse, qui est bel et bien celle de son domicile. Le pli n’a pas été retourné au Ministère public avec la mention que le destinataire était inconnu à cette adresse – auquel cas la question de la validité de la notification aurait pu se poser –, mais avec la mention "non réclamé", ce qui implique que l’avis de retrait du pli recommandé a été placé dans la boîte aux lettres du destinataire, lequel n’est pas allé chercher le pli à la poste dans le délai de garde. Dans ces circonstances, le Ministère public a établi avoir notifié le pli au domicile du recourant, même sans précision du nom de la compagne de celui-ci. L'absence de cette mention ne rend en effet pas la notification inefficace, puisque le pli, qui a été adressé au domicile du prévenu, a atteint son destinataire. Le fardeau de la preuve de la prétendue erreur du facteur, alléguée par le recourant, incombe ainsi à ce dernier, qui ne la rend nullement vraisemblable. Le recourant allègue d’ailleurs ne pas avoir eu "l’occasion" d’interroger son facteur habituel pour déterminer qui avait procédé à la notification le jour en question, laissant sous- entendre que l’employé habituel savait où déposer les plis portant son nom. Le recourant n’établit pas non plus l’allégation selon laquelle, en juillet 2019, son nom ne figurait pas sur la boîte aux lettres, se contentant de produire une photographie postérieure à la date de notification. Le recourant n’est donc pas parvenu à renverser la présomption de la remise correcte de l’avis postal dans sa boîte aux lettres. Il sera au demeurant relevé qu'il lui appartenait, conformément aux principes sus-rappelés, de prendre les mesures nécessaires pour que le courrier des autorités de poursuite pénale lui parvienne, par exemple en apposant son nom sur la boîte aux lettres. Le recourant devait, en outre, s’attendre à recevoir, après son audition par les gardes- frontière en qualité de prévenu, une communication de l’autorité. L’écoulement de six mois et trois jours remplit encore les conditions de l’art. 85 al. 4 CPP, au vu des principes jurisprudentiels sus-rappelés. Le pli contenant l'ordonnance pénale ayant été expédié au domicile du prévenu conformément à l'art. 87 al.1 CPP, l'application au cas d'espèce de l'art. 85 al. 4 CPP, dont les conditions sont remplies, ne consacre pas de violation du droit d'être entendu du recourant. Il s’ensuit que la notification de l’ordonnance pénale est réputée avoir été notifiée à l’échéance du délai de garde, soit le 13 juillet 2019. Formée le 30 janvier 2020, l’opposition est tardive, ce qu’a constaté à bon droit le Tribunal de police. Le recours est dès lors infondé.</w:t>
      </w:r>
    </w:p>
    <w:p>
      <w:r>
        <w:rPr>
          <w:b/>
        </w:rPr>
        <w:t>E. 4</w:t>
      </w:r>
    </w:p>
    <w:p>
      <w:r>
        <w:t>Justifiée, l'ordonnance querellée sera donc confirmée.</w:t>
      </w:r>
    </w:p>
    <w:p>
      <w:r>
        <w:t>- 8/11 - P/409/2019</w:t>
      </w:r>
    </w:p>
    <w:p>
      <w:r>
        <w:rPr>
          <w:b/>
        </w:rPr>
        <w:t>E. 5</w:t>
      </w:r>
    </w:p>
    <w:p>
      <w:r>
        <w:t>Le recourant demande à être mis au bénéfice d’une défense d’office pour la procédure de recours.</w:t>
      </w:r>
    </w:p>
    <w:p>
      <w:r>
        <w:rPr>
          <w:b/>
        </w:rPr>
        <w:t>E. 5.1</w:t>
      </w:r>
    </w:p>
    <w:p>
      <w:r>
        <w:t>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w:t>
      </w:r>
    </w:p>
    <w:p>
      <w:r>
        <w:rPr>
          <w:b/>
        </w:rPr>
        <w:t>E. 5.2</w:t>
      </w:r>
    </w:p>
    <w:p>
      <w:r>
        <w:t>En tout état de cause, une affaire n'est pas de peu de gravité lorsque le prévenu est passible d'une peine privative de liberté de plus de 4 mois ou d'une peine pécuniaire de plus de 120 jours-amende (art. 132 al. 3 CPP).</w:t>
      </w:r>
    </w:p>
    <w:p>
      <w:r>
        <w:rPr>
          <w:b/>
        </w:rPr>
        <w:t>E. 5.3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5.4</w:t>
      </w:r>
    </w:p>
    <w:p>
      <w:r>
        <w:t>En l’espèce, la question de l’indigence peut demeurer indécise, les autres conditions n’étant pas remplies. La peine privative de liberté de 90 jours, même ferme, demeure en-deçà de la limite de 120 jours prévue à l’art. 132 al. 3 CPP, de sorte que le cas est de peu de gravité au sens de cette disposition. En outre, bien que les connaissances en français du recourant soient, selon ses dires, rudimentaires, la cause ne revêt pas de difficultés insurmontables pour un prévenu comparant en personne, le cas échéant assisté d'un traducteur. La défense du recourant consiste à soutenir ne pas avoir reçu le pli</w:t>
      </w:r>
    </w:p>
    <w:p>
      <w:r>
        <w:t>- 9/11 - P/409/2019 contenant l'ordonnance pénale car l'adresse ne mentionnait pas le nom de sa compagne et que son nom à lui ne figurait pas sur la boîte aux lettres à l'époque de la notification, et qu’il ne devait de surcroît plus s’attendre à une communication de l’autorité six mois et trois jours après son audition par les gardes-frontière. Or, il s’agit là de faits simples, qu'un justiciable en personne est apte à expliquer sans l'aide d'un avocat, étant précisé que les conclusions juridiques devant en être tirées le sont par les autorités pénales. Partant, le recourant ne remplit pas les conditions d’une défense d’office.</w:t>
      </w:r>
    </w:p>
    <w:p>
      <w:r>
        <w:rPr>
          <w:b/>
        </w:rPr>
        <w:t>E. 6</w:t>
      </w:r>
    </w:p>
    <w:p>
      <w:r>
        <w:t>Vu l'issue du recours, le recourant ne saurait prétendre à être indemnisé pour ses frais de première instance.</w:t>
      </w:r>
    </w:p>
    <w:p>
      <w:r>
        <w:rPr>
          <w:b/>
        </w:rPr>
        <w:t>E. 7</w:t>
      </w:r>
    </w:p>
    <w:p>
      <w:r>
        <w:t>Le recourant, qui succombe, supportera les frais envers l'État, fixés en totalité à CHF 800.- y compris un émolument de décision (art. 428 al. 1 CPP et 13 al. 1 du Règlement fixant le tarif des frais en matière pénale, RTFMP ; E 4 10.03). * * * * *</w:t>
      </w:r>
    </w:p>
    <w:p>
      <w:r>
        <w:t>- 10/11 - P/409/2019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