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ACPR/83/2025 vom 12. Dezember 2024</w:t>
      </w:r>
    </w:p>
    <w:p>
      <w:r>
        <w:t>GE Cour de justice, 2024-12-12, FR</w:t>
      </w:r>
    </w:p>
    <w:p>
      <w:r>
        <w:rPr>
          <w:b/>
        </w:rPr>
        <w:t xml:space="preserve">Quelle: </w:t>
      </w:r>
      <w:r>
        <w:t>https://mcp.opencaselaw.ch/entscheid/ge_gerichte_ACPR_83_2025</w:t>
      </w:r>
    </w:p>
    <w:p>
      <w:r>
        <w:t>FR: GE_GERICHTE ACPR/83/2025 du 12 décembre 2024</w:t>
      </w:r>
    </w:p>
    <w:p>
      <w:r>
        <w:t>IT: GE_GERICHTE ACPR/83/2025 del 12 dicembre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Le Ministère public s'étant limité, dans ses observations, à conclure au rejet du recours, sans autres remarques, le recourant n'a pas été invité à répliquer, étant rappelé que la motivation d'un acte de recours doit être entièrement contenue dans l'acte de recours lui-même et ne saurait dès lors être complétée ou corrigée ultérieurement (cf. arrêt du Tribunal fédéral 7B_57/2022 du 27 mars 2024 consid. 7.3.1).</w:t>
      </w:r>
    </w:p>
    <w:p>
      <w:r>
        <w:rPr>
          <w:b/>
        </w:rPr>
        <w:t>E. 3.1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Une non-entrée en matière peut ainsi se justifier pour des motifs de faits. Il s'agit des cas où la preuve d'une infraction, soit la réalisation en fait de ses éléments constitutifs, n'est pas apportée par les pièces dont dispose le ministère public. Il faut que l'insuffisance de charge soit manifeste (arrêt du Tribunal fédéral 6B_544/2016 du 17 novembre 2016 consid. 3.1; Y. JEANNERET / A. KUHN / C. PERRIER DEPEURSINGE (éds), Commentaire romand : Code de procédure pénale suisse, 2ème éd., Bâle 2019, n. 9 ad art. 310).</w:t>
      </w:r>
    </w:p>
    <w:p>
      <w:r>
        <w:rPr>
          <w:b/>
        </w:rPr>
        <w:t>E. 3.2</w:t>
      </w:r>
    </w:p>
    <w:p>
      <w:r>
        <w:t>Selon l'art. 146 al. 1 CP, se rend coupable d'escroquerie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L'escroquerie consiste à tromper la dupe. Pour qu'il y ait escroquerie, une simple tromperie ne suffit cependant pas ;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w:t>
      </w:r>
    </w:p>
    <w:p>
      <w:r>
        <w:t>- 5/9 - P/28583/2024 difficilement ou ne peut raisonnablement être exigée, de même que si l'auteur dissuade la dupe de vérifier ou prévoit, en fonction des circonstances, qu'elle renoncera à le faire en raison d'un rapport de confiance particulier (ATF 143 IV 302 consid. 1.3; 142 IV 153 consid. 2.2.2; 135 IV 76 consid. 5.2). Le juge pénal n'a pas à accorder sa protection à celui qui est tombé dans un piège qu'un peu d'attention et de réflexion lui aurait permis d'éviter. L'astuce n'est ainsi pas réalisée si la dupe pouvait se protéger avec un minimum d'attention ou éviter l'erreur avec le minimum de prudence que l'on pouvait attendre d'elle. Il faut prendre en considération les circonstances et la situation particulière de la dupe, telle que l'auteur la connaît et l'exploite, par exemple une faiblesse d'esprit, l'inexpérience, le grand âge ou la maladie, mais aussi un état de dépendance, d'infériorité ou de détresse faisant que la dupe n'est guère en mesure de se méfier de l'auteur. L'exploitation de semblables situations constitue précisément l'une des caractéristiques de l'astuce. L'hypothèse dans laquelle aucune vérification ne peut être attendue de la dupe vise également les opérations courantes, de faible valeur, pour lesquelles un contrôle entraînerait des frais ou une perte de temps disproportionnés ou ne peut être exigée pour des raisons commerciales. Pour songer à opérer une vérification aussi aisée soit-elle (par exemple : un appel téléphonique), la dupe doit également déjà avoir une raison particulière de se méfier (ATF 143 IV 302 consid. 1.4; ATF 142 IV 153 consid. 2.2.2; 135 IV 76 consid. 5.2; arrêt du Tribunal fédéral 6B_1180/2020 du 10 juin 2021 consid. 2.2).</w:t>
      </w:r>
    </w:p>
    <w:p>
      <w:r>
        <w:rPr>
          <w:b/>
        </w:rPr>
        <w:t>E. 3.3</w:t>
      </w:r>
    </w:p>
    <w:p>
      <w:r>
        <w:t>En l'espèce, il ressort du dossier que le recourant a versé EUR 390.- à un marabout en échange de ses services de guérisseur et aurait été déterminé par cette même personne à lui remettre, quelques jours plus tard, une somme d'argent supplémentaire de CHF 13'000.- à tout le moins pour ces mêmes services. Cette seconde transaction n'a toutefois pas abouti, le plaignant s'étant méfié et ayant appelé la police, qui a interpellé C______, soit la personne apparemment envoyée par le marabout pour récupérer l'argent. C______ a nié être impliqué dans une quelconque escroquerie ou tentative d'escroquerie. Il avait seulement été chargé par le prétendu F______ de récupérer une somme d'argent auprès du plaignant. Ni ces explications ni l'enquête de police n'ont permis d'identifier le marabout se faisant passer pour B______. Le raccordement utilisé par lui pour contacter le plaignant est enregistré au nom de E______, qui était un nom d'emprunt. Rien ne permet non plus d'identifier le soi-disant F______. Quant au lien entre le prévenu et D______, il demeure inconnu. Le recourant n'explicite pas quels autres éléments contenus dans la clé USB qu'il a remise à la police postérieurement au prononcé de l'ordonnance querellée seraient de nature à permettre l'identification de l'auteur.</w:t>
      </w:r>
    </w:p>
    <w:p>
      <w:r>
        <w:t>- 6/9 - P/28583/2024 Quand bien même celui-ci pourrait être identifié, force est de constater que la condition nécessaire de l'astuce ferait défaut. Le recourant semblait certes vivre une situation personnelle difficile en raison de la maladie dont était atteinte son amie, laquelle était propre à le conduire à baisser la garde pour faire en sorte qu'elle puisse guérir. Toutefois, rien n'indique qu'il aurait été privé de ses facultés intellectuelles à un point tel qu'il ne pouvait plus être exigé de lui qu'il fasse preuve de la prudence la plus élémentaire. Or, un minimum d'attention de sa part aurait dû l'inciter à ne pas verser d'argent à un inconnu en échange d'une promesse de guérison incertaine ni à prendre des mesures pour lui verser, par la suite, une somme d'argent encore plus importante. Preuve en est qu'il a fini par éprouver des doutes sur les dons de guérisseur de son interlocuteur et a contacté la police après que celui-ci lui eut demandé de lui remettre plus de CHF 13'000.-.</w:t>
      </w:r>
    </w:p>
    <w:p>
      <w:r>
        <w:rPr>
          <w:b/>
        </w:rPr>
        <w:t>E. 4</w:t>
      </w:r>
    </w:p>
    <w:p>
      <w:r>
        <w:t>Le recours sera ainsi rejeté.</w:t>
      </w:r>
    </w:p>
    <w:p>
      <w:r>
        <w:rPr>
          <w:b/>
        </w:rPr>
        <w:t>E. 5</w:t>
      </w:r>
    </w:p>
    <w:p>
      <w:r>
        <w:t>L'ordonnance entreprise étant confirmée, il appartient désormais au Ministère public, et non à la Chambre de céans, de procéder à la restitution à C______ des objets saisis lors de son interpellation et portés à l'inventaire.</w:t>
      </w:r>
    </w:p>
    <w:p>
      <w:r>
        <w:rPr>
          <w:b/>
        </w:rPr>
        <w:t>E. 6</w:t>
      </w:r>
    </w:p>
    <w:p>
      <w:r>
        <w:t>Le recourant sollicite l'assistance judiciaire pour le recours.</w:t>
      </w:r>
    </w:p>
    <w:p>
      <w:r>
        <w:rPr>
          <w:b/>
        </w:rPr>
        <w:t>E. 6.1</w:t>
      </w:r>
    </w:p>
    <w:p>
      <w:r>
        <w:t>Conformément à l'art. 136 al. 1 CPP, sur demande, la direction de la procédure accorde entièrement ou partiellement l'assistance judiciaire gratuite: à la partie plaignante, pour faire valoir ses prétentions civiles, si elle ne dispose pas de ressources suffisantes et que l'action civile ne paraît pas vouée à l'échec (let. a) ; à la victime, pour lui permettre de faire aboutir sa plainte pénale, si elle ne dispose pas de ressources suffisantes et que l'action pénale ne paraît pas vouée à l'échec (let. b). Selon l'art. 136 al. 2 CPP, l'assistance judiciaire comprend: l'exonération d'avances de frais et de sûretés (let. a), l'exonération des frais de procédure (let. b) et la désignation d'un conseil juridique gratuit, lorsque la défense des intérêts de la partie plaignante ou de la victime l'exige (let. c, entrée en vigueur le 1er janvier 2024). Le législateur a ainsi sciemment limité l'octroi de l'assistance judiciaire aux cas où le plaignant peut faire valoir des prétentions civiles (Message du Conseil fédéral du 21 décembre 2005 relatif à l'unification du droit de la procédure pénale, FF 2006 1057, p. 1160 ; arrêt du Tribunal fédéral 1B_522/2020 du 11 janvier 2021 consid. 5.1 et références citées).</w:t>
      </w:r>
    </w:p>
    <w:p>
      <w:r>
        <w:t>- 7/9 - P/28583/2024</w:t>
      </w:r>
    </w:p>
    <w:p>
      <w:r>
        <w:rPr>
          <w:b/>
        </w:rPr>
        <w:t>E. 6.2</w:t>
      </w:r>
    </w:p>
    <w:p>
      <w:r>
        <w:t>En l'occurrence, tant les prétentions civiles du recourant que l'action pénale étaient d'emblée vouées à l'échec, pour les raisons exposées ci-dessus, de sorte que le recourant, même s'il était indigent, ne remplit pas les conditions à l'octroi de l'assistance judiciaire dans le cadre de son recours. La requête ne peut dès lors qu'être rejetée.</w:t>
      </w:r>
    </w:p>
    <w:p>
      <w:r>
        <w:rPr>
          <w:b/>
        </w:rPr>
        <w:t>E. 7</w:t>
      </w:r>
    </w:p>
    <w:p>
      <w:r>
        <w:t>Le recourant, qui succombe, supportera les frais envers l'État, fixés en totalité à CHF 600.-, pour tenir compte de sa situation et des circonstances du cas d'espèce (art. 428 al. 1 CPP et 13 al. 1 du Règlement fixant le tarif des frais en matière pénale, RTFMP ; E 4 10.03). Le refus de l'assistance juridique sera, quant à lui, rendu sans frais (art. 20 RAJ) * * * * *</w:t>
      </w:r>
    </w:p>
    <w:p>
      <w:r>
        <w:t>- 8/9 - P/28583/2024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