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ACPR/83/2020 vom 17. Januar 2020</w:t>
      </w:r>
    </w:p>
    <w:p>
      <w:r>
        <w:t>GE Cour de justice, 2020-01-17, FR</w:t>
      </w:r>
    </w:p>
    <w:p>
      <w:r>
        <w:rPr>
          <w:b/>
        </w:rPr>
        <w:t xml:space="preserve">Quelle: </w:t>
      </w:r>
      <w:r>
        <w:t>https://mcp.opencaselaw.ch/entscheid/ge_gerichte_ACPR_83_2020</w:t>
      </w:r>
    </w:p>
    <w:p>
      <w:r>
        <w:t>FR: GE_GERICHTE ACPR/83/2020 du 17 janvier 2020</w:t>
      </w:r>
    </w:p>
    <w:p>
      <w:r>
        <w:t>IT: GE_GERICHTE ACPR/83/2020 del 17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au sens de l'art. 221 al. 1 CPP. Il les minimise en soutenant que son implication était accessoire. Il avait conduit les victimes sur les lieux de l'agression et de la séquestration auxquelles il avait, à tout le moins, assisté passivement.</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l'instruction ne fait que commencer. Il est particulièrement important de confronter les prévenus afin de déterminer le rôle de chacun; le recourant étant le seul soumis au droit pénal des majeurs, pourrait être ainsi naturellement enclin à minimiser son rôle. Les prévenus mineurs pourraient également le suivre dans cette inclination, quand bien même les enjeux pour eux sont totalement différents. Le risque est grand qu'il ne mette à profit sa mise en liberté pour influencer ses comparses sur son comportement lors de ce brigandage.</w:t>
      </w:r>
    </w:p>
    <w:p>
      <w:r>
        <w:t>- 6/8 - P/1020/2020 En outre, les risques de pression sur les victimes sont très importants et concrets, le recourant soutenant de manière pour le moins incongrue avoir été "sympa" avec elles et "ne pas leur manqué de respect". Leur témoignage sera aussi très important s'agissant du rôle réel du recourant qui les a conduits dans le traquenard. Enfin, on ne peut suivre le recourant s'agissant de l'exemplarité de son comportement, lui qui a tenté de conduire la police vers de fausses pistes, refusé d'identifier les auteurs cagoulés et soutenu ne pas avoir vu, mais entendu, l'agression afin de ne pas identifier ceux qui avaient donné les coups. Cela sans parler de son attitude juste après les faits, en restant durant une heure dans un café à y jouer à la Playstation tandis que les victimes étaient encore dans la cave du parking et en passant à côté de la police lorsqu'il a préféré ne pas être impliqué dans les événements. C'est donc à bon droit que le TMC a retenu un risque de collusion.</w:t>
      </w:r>
    </w:p>
    <w:p>
      <w:r>
        <w:rPr>
          <w:b/>
        </w:rPr>
        <w:t>E. 4</w:t>
      </w:r>
    </w:p>
    <w:p>
      <w:r>
        <w:t>Ce seul risque justifiant le maintien en détention provisoire du recourant, l'autorité de recours peut se dispenser d'examiner les autres risques, alternatifs (arrêt du Tribunal fédéral 1B_322/2019 du 17 juillet 2019 consid. 3.3 et la jurisprudence citée).</w:t>
      </w:r>
    </w:p>
    <w:p>
      <w:r>
        <w:rPr>
          <w:b/>
        </w:rPr>
        <w:t>E. 5</w:t>
      </w:r>
    </w:p>
    <w:p>
      <w:r>
        <w:t>Aucune mesure de substitution, au sens de l'art. 237 CPP, n'est de nature à pallier le risque de collusion, en particulier pas l'interdiction de contact proposée par le recourant, laquelle ne reposerait que sur sa seule volonté et dont le contrôle de la violation n'interviendrait qu'après la réalisation du risque. La garantie des parents de contrôler leur fils, pour le moins surprenante en droit pénal, n'a pas d'autre portée que morale et qui plus est dans les relations intrafamiliales.</w:t>
      </w:r>
    </w:p>
    <w:p>
      <w:r>
        <w:rPr>
          <w:b/>
        </w:rPr>
        <w:t>E. 6</w:t>
      </w:r>
    </w:p>
    <w:p>
      <w:r>
        <w:t>Selon l'art. 140 ch. 1 CP, est puni d’une peine privative de liberté de six mois à dix ans celui qui commet un vol en usant de violence à l'égard d'une personne, en la menaçant d'un danger imminent pour la vie ou l'intégrité corporelle ou en la mettant hors d'état de résister. Compte tenu de la peine menace et concrètement encourue, le principe de la proportionnalité demeure ici respecté (art. 197 al. 1 et 212 al. 3 CPP), étant précisé que ce n'est pas la détention provisoire du recourant qui met en danger sa scolarité, ce dernier l'ayant déjà largement compromise par son attitude depuis longtemps.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t>- 7/8 - P/1020/2020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