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ACPR/83/2018 vom 22. November 2017</w:t>
      </w:r>
    </w:p>
    <w:p>
      <w:r>
        <w:t>GE Cour de justice, 2017-11-22, FR</w:t>
      </w:r>
    </w:p>
    <w:p>
      <w:r>
        <w:rPr>
          <w:b/>
        </w:rPr>
        <w:t xml:space="preserve">Quelle: </w:t>
      </w:r>
      <w:r>
        <w:t>https://mcp.opencaselaw.ch/entscheid/ge_gerichte_ACPR_83_2018</w:t>
      </w:r>
    </w:p>
    <w:p>
      <w:r>
        <w:t>FR: GE_GERICHTE ACPR/83/2018 du 22 novembre 2017</w:t>
      </w:r>
    </w:p>
    <w:p>
      <w:r>
        <w:t>IT: GE_GERICHTE ACPR/83/2018 del 22 novembre 2017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titulaire des avoirs séquestrés qui, partie à la procédure (art. 104 al. 1 let. a CPP), a qualité pour agir, ayant un intérêt juridiquement protégé à la modification ou à l'annulation de la décision concernée (art. 382 al. 1 CPP).</w:t>
      </w:r>
    </w:p>
    <w:p>
      <w:r>
        <w:rPr>
          <w:b/>
        </w:rPr>
        <w:t>E. 2</w:t>
      </w:r>
    </w:p>
    <w:p>
      <w:r>
        <w:t>Le recourant conteste la possibilité de séquestrer la somme de EUR 1'760.-.</w:t>
      </w:r>
    </w:p>
    <w:p>
      <w:r>
        <w:rPr>
          <w:b/>
        </w:rPr>
        <w:t>E. 2.1</w:t>
      </w:r>
    </w:p>
    <w:p>
      <w:r>
        <w:t>Selon l'art. 263 al. 1 CPP,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ou qu'ils devront être confisqués (let. d). Une telle mesure est fondée sur la vraisemblance (ATF 126 I 97 consid. 3d/aa p. 107 et les références citées); comme cela ressort de l'art. 263 al. 1 CPP, une simple probabilité suffit car la saisie se rapporte à des faits non encore établis, respectivement à des prétentions encore incertaines. L'autorité doit pouvoir décider rapidement du séquestre provisoire (cf. art. 263 al. 2 CPP), ce qui exclut qu'elle résolve des questions juridiques complexes ou qu'elle attende d'être renseignée de manière exacte et complète sur les faits avant d'agir (ATF 140 IV 57 consid. 4.1.2 p. 64 et les références citées).</w:t>
      </w:r>
    </w:p>
    <w:p>
      <w:r>
        <w:rPr>
          <w:b/>
        </w:rPr>
        <w:t>E. 2.2</w:t>
      </w:r>
    </w:p>
    <w:p>
      <w:r>
        <w:t>Le séquestre en couverture des frais (art. 263 al. 1 let. b CPP), destiné à couvrir les conséquences financières prévisibles du procès que le prévenu aura à supporter, peut s'étendre à l'ensemble des biens du prévenu, y compris sur ceux qui sont sans relation avec l'infraction commise et qui sont d'origine licite (G. PIQUEREZ / A. MACALUSO, Procédure pénale suisse, 3e édition, Genève 2011, n. 1407). Il en va de même du séquestre destiné à garantir l'exécution d'une créance compensatrice (soit la créance ordonnée par le juge en vertu de l'art. 71 al. 1 CP, lorsque les valeurs patrimoniales provenant de l'infraction ne sont plus disponibles),</w:t>
      </w:r>
    </w:p>
    <w:p>
      <w:r>
        <w:t>- 4/6 - P/20201/2015 qui peut porter sur tous les biens, valeurs et/ou revenus de l'intéressé, sans qu'un lien de connexité avec l'infraction soit exigé (art. 71 al. 3 CP; ATF 140 IV 57 consid. 4.1.2 p. 63).</w:t>
      </w:r>
    </w:p>
    <w:p>
      <w:r>
        <w:rPr>
          <w:b/>
        </w:rPr>
        <w:t>E. 2.3</w:t>
      </w:r>
    </w:p>
    <w:p>
      <w:r>
        <w:t>Selon l'art. 268 al. 2 CPP, lors du séquestre en couverture des frais prévu par l'art. 263 al. 1 let. b CPP, l'autorité pénale doit tenir compte du revenu et de la fortune du prévenu et de sa famille et ne peut faire porter la mesure sur les valeurs insaisissables selon les art. 92 à 94 de la loi fédérale du 11 avril 1889 sur la poursuite pour dettes et la faillite (art. 268 al. 3 LP). Ces restrictions ne valent, selon la systématique légale, que pour ce seul cas de séquestre. Cela s'explique par le fait que ce dernier tend exclusivement à la sauvegarde d'intérêts publics, soit à garantir le recouvrement de la future dette de droit public du prévenu (ATF 119 Ia 453 consid. 4d p. 458; arrêt du Tribunal fédéral 1B_274/2012 du 11 juillet 2012 consid. 3). Le Tribunal fédéral considère toutefois que le principe de la proportionnalité commande, également dans le cadre du séquestre fondé sur l'art. 71 al. 3 CP, de respecter les conditions minimales d'existence du prévenu, notamment lorsque la mesure porte sur la totalité des revenus de ce dernier (ATF 141 IV 360 consid. 3.2 p. 364), y compris lorsque l'intéressé est détenu (arrêt 1B_136/2014 du 14 mai 2014 consid. 2.2).</w:t>
      </w:r>
    </w:p>
    <w:p>
      <w:r>
        <w:rPr>
          <w:b/>
        </w:rPr>
        <w:t>E. 2.4</w:t>
      </w:r>
    </w:p>
    <w:p>
      <w:r>
        <w:t>Indépendamment du cas de séquestre fondant la mesure, l'art. 83 al. 2 CP interdit de saisir ou de séquestrer la rémunération que le détenu reçoit pour son travail. En effet, l'un des buts de la rémunération du détenu n'est pas de servir au remboursement de créanciers éventuels, mais de lui permettre, une fois libéré, de subvenir à son entretien le temps de retrouver un emploi ou une situation permettant sa réinsertion sociale (ATF 106 IV 378 consid. 2 p. 381; R. ROTH / L. MOREILLON (éds), Code pénal I : art. 1-100 CP, Bâle 2009, n. 11 ad art. 83). La protection de la rémunération commence pendant l'exécution de celle-ci et perdure lors de la libération (M. NIGGLI / H. WIPRÄCHTIGER, Basler Kommentar Strafrecht I : Art. 1-110 StGB, Jugendstrafgesetz, 3e éd., Bâle 2013, n. 23 ad art. 83; L. DALLÈVES / B. FOËX / N. JEANDIN (éds), Commentaire romand de la LP, Bâle 2005, n. 213 ad art. 92). En l'état, la seule exception à ce principe a été admise, sous l'ancien droit, lorsque le comportement du détenu laissait à désirer, les frais en particulier liés à une tentative d'évasion pouvant, sans violer le droit fédéral, être déduits du pécule (ATF 106 IV 378 consid. 3 p. 381; 102 Ib 254 consid. 1 p. 256).</w:t>
      </w:r>
    </w:p>
    <w:p>
      <w:r>
        <w:rPr>
          <w:b/>
        </w:rPr>
        <w:t>E. 2.5</w:t>
      </w:r>
    </w:p>
    <w:p>
      <w:r>
        <w:t>En l'occurrence, l'affirmation du recourant selon laquelle la somme de EUR 1'760.-, objet du séquestre litigieux, proviendrait de l'activité déployée durant</w:t>
      </w:r>
    </w:p>
    <w:p>
      <w:r>
        <w:t>- 5/6 - P/20201/2015 sa détention en France n'est pas contestée. Elle est au demeurant corroborée par les pièces produites. Dans son ordonnance, qui reprend le libellé de l'art. 263 al. 1 CPP, le Ministère public ne soutient pas que la mesure qu'il a prononcée serait justifiée par la couverture de frais résultant d'une mauvaise conduite de l'intéressé durant sa détention. Il s'ensuit que le séquestre contrevient à l'art. 83 al. 2 CP et doit être annulé, indépendamment de la question de savoir s'il porte ou non atteinte aux conditions minimales d'existence du prévenu.</w:t>
      </w:r>
    </w:p>
    <w:p>
      <w:r>
        <w:rPr>
          <w:b/>
        </w:rPr>
        <w:t>E. 3</w:t>
      </w:r>
    </w:p>
    <w:p>
      <w:r>
        <w:t>Fondé, le recours doit être admis ; partant, l'ordonnance querellée sera partiellement annulée et le séquestre levé sur la somme de EUR 1'760.-.</w:t>
      </w:r>
    </w:p>
    <w:p>
      <w:r>
        <w:rPr>
          <w:b/>
        </w:rPr>
        <w:t>E. 4</w:t>
      </w:r>
    </w:p>
    <w:p>
      <w:r>
        <w:t>L'admission du recours ne donne pas lieu à la perception de frais (art. 428 al. 1 CPP).</w:t>
      </w:r>
    </w:p>
    <w:p>
      <w:r>
        <w:rPr>
          <w:b/>
        </w:rPr>
        <w:t>E. 5</w:t>
      </w:r>
    </w:p>
    <w:p>
      <w:r>
        <w:t>Il n'y a pas lieu d'indemniser à ce stade (cf. art. 135 al. 2 CPP) le défenseur d'office, qui ne l'a du reste pas demandé.</w:t>
      </w:r>
    </w:p>
    <w:p>
      <w:r>
        <w:t>* * * * *</w:t>
      </w:r>
    </w:p>
    <w:p>
      <w:r>
        <w:t>- 6/6 - P/20201/2015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