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ACPR/837/2021 vom 9. Juli 2021</w:t>
      </w:r>
    </w:p>
    <w:p>
      <w:r>
        <w:t>GE Cour de justice, 2021-07-09, FR</w:t>
      </w:r>
    </w:p>
    <w:p>
      <w:r>
        <w:rPr>
          <w:b/>
        </w:rPr>
        <w:t xml:space="preserve">Quelle: </w:t>
      </w:r>
      <w:r>
        <w:t>https://mcp.opencaselaw.ch/entscheid/ge_gerichte_ACPR_837_2021</w:t>
      </w:r>
    </w:p>
    <w:p>
      <w:r>
        <w:t>FR: GE_GERICHTE ACPR/837/2021 du 9 juillet 2021</w:t>
      </w:r>
    </w:p>
    <w:p>
      <w:r>
        <w:t>IT: GE_GERICHTE ACPR/837/2021 del 9 luglio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w:t>
      </w:r>
    </w:p>
    <w:p>
      <w:r>
        <w:t>- 10/14 - P/7196/2017 CPP), qu'ils devront être confisqués (art. 263 al. 1 let. d CPP) ou qu'ils pourraient servir à l'exécution d'une créance compensatrice (art. 71 al. 3 CP).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p. 364).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(arrêt du Tribunal fédéral 1B_414/2019 du 13 janvier 2020 consid. 2.1 et les arrêts cités). Les probabilités d'une confiscation doivent cependant se renforcer au cours de l'instruction (ATF 122 IV 91 consid. 4 p. 96). Un séquestre peut en effet apparaître disproportionné lorsque la procédure dans laquelle il s'inscrit s'éternise sans motifs suffisants (ATF 132 I 229 consid. 11.6 p. 247). En outre, pour respecter le principe de proportionnalité, l'étendue du séquestre doit rester en rapport avec le produit de l'infraction poursuivie (ATF 130 II 329 consid. 6 p. 336 ; arrêt du Tribunal fédéral 1B_116/2021 du 5 mai 2021 consid. 5.1 et les arrêts cités).</w:t>
      </w:r>
    </w:p>
    <w:p>
      <w:r>
        <w:rPr>
          <w:b/>
        </w:rPr>
        <w:t>E. 2.2</w:t>
      </w:r>
    </w:p>
    <w:p>
      <w:r>
        <w:t>En l'espèce, le Ministère public justifie l'augmentation de l'assiette du séquestre des avoirs de A______ AG auprès de D______ – de CHF 3'000'000.- à CHF 18'000'000.- – par une aggravation des charges et par le nombre colossal de transactions effectuées annuellement par la société par le biais de sa plateforme internet, générant ainsi un chiffre d'affaires de plusieurs millions de francs, et dont une partie serait constitutive d'infractions à la LCD et à l'art. 146 CP. Dans son précédent arrêt, la Chambre de céans a statué que les charges demeuraient suffisantes, l'enquête ayant permis de mettre en lumière l'intervention de tiers – identifiés ou non – à l'étranger, dont on ignorait encore s'ils étaient liés à A______ AG dans le processus d'acquisition de billets sur la plateforme internet de la société. Les circonstances dans lesquelles ces tiers entraient en scène et étaient financés pour leur acquisition de billets devaient être éclaircies dans le cadre des CRI annoncées et désormais en cours.</w:t>
      </w:r>
    </w:p>
    <w:p>
      <w:r>
        <w:t>- 11/14 - P/7196/2017 Ces soupçons se seraient renforcés depuis lors avec les nouveaux éléments mis en évidence par le Ministère public et ressortant des documents saisis par les autorités allemandes qui, quand bien même ils s'inscriraient dans le cadre d'une procédure fiscale, semblent corroborer le fait que la plateforme A______ ne servirait pas uniquement de bourse d'échange de billets mais que la société y procéderait à la vente de certains billets. Cela étant, le Ministère public, à qui il a été demandé de justifier la manière dont il avait calculé la nouvelle assiette du séquestre ordonné, peine à convaincre de son bien-fondé. La F______ allègue un préjudice financier de USD 5'000'000.- ainsi qu'un préjudice réputationnel non chiffré. G______ invoque un préjudice lié à sa réputation, non chiffré non plus. H______ déclare, pour sa part, un préjudice d'image et financier, non chiffré en l'état, mais qu'elle évalue dans sa plainte à plusieurs centaines de milliers d'euros. Les nombreux autres particuliers en Suisse et à l'étranger qui ont déposé plainte ont tous subi un dommage individuel – correspondant à l'achat d'un ou plusieurs billets de spectacle, auquel s'ajoutent d'éventuels frais supplémentaires d'hôtel et de transport – relativement faible en comparaison, de quelques centaines voire milliers de francs. Seule Q______ allègue un préjudice d'environ CHF 50'000.- (cf. pv d'audition du 2 mars 2018, p. 9; PP 500'098). Que d'autres plaignants se manifestent est très peu probable, la procédure ayant été ouverte en 2017. Compte tenu de ce qui précède, le préjudice total se monterait dès lors, en comptant largement, à un peu moins de CHF 6'000'000.- Eu égard aux préventions retenues à son égard, le montant maximal de l'amende à laquelle pourrait par ailleurs être condamnée A______ AG s'élèverait à CHF 5'000'000.- (art. 102 CP), auquel s'ajouterait le cas échéant une amende de quelques milliers de francs en vertu de la LCD. Même en tenant compte encore des frais de justice, on est loin du montant de CHF 18'000'000.- séquestré. S'il semble avéré que l'activité de A______ AG génère un très important chiffre d'affaires, le Ministère public admet que seule une partie des transactions générées par le biais de sa plateforme internet pourrait être constitutive d'infractions pénales. Or, on ignore toujours, après plus de quatre ans d'enquêtes, quelles transactions seraient frauduleuses et pour quel montant. Le fait que les autorités allemandes</w:t>
      </w:r>
    </w:p>
    <w:p>
      <w:r>
        <w:t>- 12/14 - P/7196/2017 articulent une somme de plus de EUR 50'000'000.- au titre de préjudice occasionné par les agissements de A______ AG dans ce pays et arguent un montant d'avoirs placés sous séquestre de EUR 17'000'000.- n'est pas déterminant pour justifier l'augmentation de l'assiette du séquestre litigieux en Suisse. Le prononcé d'amendes à l'étranger n'est pas non plus significatif pour la présente procédure et ne saurait, à ce titre, justifier le montant du séquestre. Quant à l'art. 70 al. 5 CP, s'il permet au juge du fond d'estimer le montant des valeurs soumises à confiscation dans les cas où elles proviennent de trafics clandestins, il ne dispense pas le magistrat instructeur de veiller au principe de la proportionnalité lorsqu'il prononce le séquestre. Enfin, le séquestre litigieux n'a pas pour effet de garantir une demande d'entraide étrangère, qui obéit à des règles spécifiques. Au vu de ce qui précède, le séquestre peut raisonnablement porter sur un montant maximal de CHF 12'000'000.-. Partant, l'ordonnance querellée viole le principe de la proportionnalité et sera annulée dans cette mesure.</w:t>
      </w:r>
    </w:p>
    <w:p>
      <w:r>
        <w:rPr>
          <w:b/>
        </w:rPr>
        <w:t>E. 3</w:t>
      </w:r>
    </w:p>
    <w:p>
      <w:r>
        <w:t>Le recours est partiellement admis.</w:t>
      </w:r>
    </w:p>
    <w:p>
      <w:r>
        <w:rPr>
          <w:b/>
        </w:rPr>
        <w:t>E. 4</w:t>
      </w:r>
    </w:p>
    <w:p>
      <w:r>
        <w:t>La recourante, qui obtient partiellement gain de cause, ne supportera pas les frais envers l'État (art. 428 al. 4 CPP).</w:t>
      </w:r>
    </w:p>
    <w:p>
      <w:r>
        <w:rPr>
          <w:b/>
        </w:rPr>
        <w:t>E. 5</w:t>
      </w:r>
    </w:p>
    <w:p>
      <w:r>
        <w:t>heures d'activité au tarif horaire moyen de CHF 400.- seront allouées, soit une indemnité de CHF 2'000.-, à laquelle s'ajoutera la TVA en 7.7%. * * * * *</w:t>
      </w:r>
    </w:p>
    <w:p>
      <w:r>
        <w:t>- 14/14 - P/7196/2017</w:t>
      </w:r>
    </w:p>
    <w:p>
      <w:r>
        <w:rPr>
          <w:b/>
        </w:rPr>
        <w:t>E. 5.1</w:t>
      </w:r>
    </w:p>
    <w:p>
      <w:r>
        <w:t>En vertu de l'art. 436 al. 1 CPP, les prétentions en indemnité dans les procédures de recours sont régies par les art. 429 à 434 CPP.</w:t>
      </w:r>
    </w:p>
    <w:p>
      <w:r>
        <w:t>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étant précisé que la Chambre de céans applique un tarif horaire de CHF 450.- (ACPR/112/2014 du 26 février 2014, renvoyant au tarif "usuel" de CHF 400.- ressortant de la SJ 2012 I 175 ; cf. aussi ACPR/279/2014 du 27 mai 2014,</w:t>
      </w:r>
    </w:p>
    <w:p>
      <w:r>
        <w:t>- 13/14 - P/7196/2017 ACPR/21/2014 du 13 janvier 2014, ACPR/442/2012 du 17 octobre 2012) ou de CHF 400.- (ACPR/282/2014 du 30 mai 2014), notamment si l'avocat concerné avait lui-même calculé sa prétention à ce taux-là (ACPR/377/2013 du 13 août 2013), ainsi que de CHF 350.- pour un collaborateur (ACPR/178/2015 du 23 mars 2015).</w:t>
      </w:r>
    </w:p>
    <w:p>
      <w:r>
        <w:rPr>
          <w:b/>
        </w:rPr>
        <w:t>E. 5.2</w:t>
      </w:r>
    </w:p>
    <w:p>
      <w:r>
        <w:t>En l'occurrence, le mémoire de recours comprend 17 pages, dont 3 de pages de garde et conclusions ainsi qu'une partie en droit topique tenant sur 3 pages, à laquelle s'ajoute une réplique de 3 pages exempte de développements nouveaux. La cause ne présente pas de difficultés juridiques ou factuelles particulières et reprend en grande partie les arguments déjà avancés par la recourante dans son précédent recours contre l'ordonnance de séquestre du 30 décembre 2020. Partant, eu égard au travail ici fourni et au fait que la recourante n'obtient pas pleinement gain de cause, seules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