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ACPR/836/2022 vom 4. November 2022</w:t>
      </w:r>
    </w:p>
    <w:p>
      <w:r>
        <w:t>GE Cour de justice, 2022-11-04, FR</w:t>
      </w:r>
    </w:p>
    <w:p>
      <w:r>
        <w:rPr>
          <w:b/>
        </w:rPr>
        <w:t xml:space="preserve">Quelle: </w:t>
      </w:r>
      <w:r>
        <w:t>https://mcp.opencaselaw.ch/entscheid/ge_gerichte_ACPR_836_2022</w:t>
      </w:r>
    </w:p>
    <w:p>
      <w:r>
        <w:t>FR: GE_GERICHTE ACPR/836/2022 du 4 novembre 2022</w:t>
      </w:r>
    </w:p>
    <w:p>
      <w:r>
        <w:t>IT: GE_GERICHTE ACPR/836/2022 del 4 novembre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P/2112/2018</w:t>
      </w:r>
    </w:p>
    <w:p>
      <w:r>
        <w:rPr>
          <w:b/>
        </w:rPr>
        <w:t>E. 2</w:t>
      </w:r>
    </w:p>
    <w:p>
      <w:r>
        <w:t>Le recourant ne conteste ni les charges, ni les risques de fuite, collusion et réitération retenus par le TMC dans son ordonnance ni encore l'absence de mesures de substitution à même de les pallier. Il n'y a donc pas lieu d'y revenir.</w:t>
      </w:r>
    </w:p>
    <w:p>
      <w:r>
        <w:rPr>
          <w:b/>
        </w:rPr>
        <w:t>E. 3</w:t>
      </w:r>
    </w:p>
    <w:p>
      <w:r>
        <w:t>Il invoque une violation du principe de la célérité.</w:t>
      </w:r>
    </w:p>
    <w:p>
      <w:r>
        <w:rPr>
          <w:b/>
        </w:rPr>
        <w:t>E. 3.1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w:t>
      </w:r>
    </w:p>
    <w:p>
      <w:r>
        <w:rPr>
          <w:b/>
        </w:rPr>
        <w:t>E. 3.2</w:t>
      </w:r>
    </w:p>
    <w:p>
      <w:r>
        <w:t>En l'espèce, prise dans son ensemble, la procédure ne paraît pas violer le principe de la célérité, étant rappelé que la collaboration du recourant a été médiocre en début d'instruction, dès lors qu'il a soit contesté les faits, soit a fait valoir son ignorance ou l'absence de souvenirs. La volonté affichée du recourant de collaborer dorénavant ne change rien sous l'angle du grief de la célérité, une prochaine audience étant annoncée par le Ministère public.</w:t>
      </w:r>
    </w:p>
    <w:p>
      <w:r>
        <w:t>- 6/9 - P/2112/2018 La cadence de l’instruction respecte ainsi les principes jurisprudentiels sus-rappelés et on ne décèle aucune violation du principe de célérité.</w:t>
      </w:r>
    </w:p>
    <w:p>
      <w:r>
        <w:rPr>
          <w:b/>
        </w:rPr>
        <w:t>E. 4</w:t>
      </w:r>
    </w:p>
    <w:p>
      <w:r>
        <w:t>Le recourant considère que la prolongation de la détention provisoire, de trois mois, est excessive et devrait être ramenée au 7 décembre 2022.</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les infractions reprochées au recourant sont nombreuses et graves. La peine qu'il encourt concrètement – si les faits devaient être retenus par l'autorité de jugement – dépasse largement la durée de la détention provisoire subie à ce jour et à l'échéance fixée, étant souligné qu'il s'expose à la révocation du sursis octroyé le 27 avril 2017.</w:t>
      </w:r>
    </w:p>
    <w:p>
      <w:r>
        <w:t>La durée ordonnée est en l'état nécessaire pour permettre au Ministère public de recueillir le résultat de l'analyse policière en cours, entendre une nouvelle fois le prévenu et décider de la suite à donner à la procédure, voire pour la clôturer par le renvoi en jugement du recourant.</w:t>
      </w:r>
    </w:p>
    <w:p>
      <w:r>
        <w:t>Il s'ensuit que la prolongation ordonnée au 7 février 2023 ne viole pas le principe de la proportionnalité.</w:t>
      </w:r>
    </w:p>
    <w:p>
      <w:r>
        <w:rPr>
          <w:b/>
        </w:rPr>
        <w:t>E. 5</w:t>
      </w:r>
    </w:p>
    <w:p>
      <w:r>
        <w:t>Le recours s'avère infondé et doit être rejeté.</w:t>
      </w:r>
    </w:p>
    <w:p>
      <w:r>
        <w:rPr>
          <w:b/>
        </w:rPr>
        <w:t>E. 6</w:t>
      </w:r>
    </w:p>
    <w:p>
      <w:r>
        <w:t>Le recourant, qui succombe, supportera les frais envers l'État, qui seront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w:t>
      </w:r>
    </w:p>
    <w:p>
      <w:r>
        <w:t>- 7/9 - P/2112/2018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quand bien même le recourant succombe, on peut admettre que l'exercice du présent recours ne procède pas d'un abus. L'indemnité sera fixée à la fin de la procédure (art. 135 al. 2 CPP). * * * * *</w:t>
      </w:r>
    </w:p>
    <w:p>
      <w:r>
        <w:t>- 8/9 - P/2112/2018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