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ACPR/835/2023 vom 16. Mai 2023</w:t>
      </w:r>
    </w:p>
    <w:p>
      <w:r>
        <w:t>GE Cour de justice, 2023-05-16, FR</w:t>
      </w:r>
    </w:p>
    <w:p>
      <w:r>
        <w:rPr>
          <w:b/>
        </w:rPr>
        <w:t xml:space="preserve">Quelle: </w:t>
      </w:r>
      <w:r>
        <w:t>https://mcp.opencaselaw.ch/entscheid/ge_gerichte_ACPR_835_2023</w:t>
      </w:r>
    </w:p>
    <w:p>
      <w:r>
        <w:t>FR: GE_GERICHTE ACPR/835/2023 du 16 mai 2023</w:t>
      </w:r>
    </w:p>
    <w:p>
      <w:r>
        <w:t>IT: GE_GERICHTE ACPR/835/2023 del 16 maggio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- 6/10 - P/19325/2022</w:t>
      </w:r>
    </w:p>
    <w:p>
      <w:r>
        <w:rPr>
          <w:b/>
        </w:rPr>
        <w:t>E. 3</w:t>
      </w:r>
    </w:p>
    <w:p>
      <w:r>
        <w:t>La recourante met en cause la responsabilité pénale de E______ SA.</w:t>
      </w:r>
    </w:p>
    <w:p>
      <w:r>
        <w:rPr>
          <w:b/>
        </w:rPr>
        <w:t>E. 3.1</w:t>
      </w:r>
    </w:p>
    <w:p>
      <w:r>
        <w:t>À teneur de l'art. 102 al. 1 CP, applicable aux personnes morales de droit privé (al. 4 let. a), un crime ou un délit qui est commis au sein d'une entreprise dans l'exercice d'activités commerciales conformes à ses buts est imputé à l'entreprise s'il ne peut être imputé à aucune personne physique déterminée en raison du manque d'organisation de l'entreprise.</w:t>
      </w:r>
    </w:p>
    <w:p>
      <w:r>
        <w:rPr>
          <w:b/>
        </w:rPr>
        <w:t>E. 3.2</w:t>
      </w:r>
    </w:p>
    <w:p>
      <w:r>
        <w:t>En l'occurrence, la recourante a, déjà au stade de sa plainte, identifié les auteurs des faits dénoncés. Il n'y a donc manifestement pas de place pour la responsabilité de E______ SA, au sens de l'art. 102 al. 1 CP, dont les conditions pour une poursuite indépendamment de la punissibilité des personnes physiques n'étaient de toute façon pas réunies, faute, pour les infractions visées par la recourante d'être énumérées à l'art. 102 al. 2 CP. L'ordonnance de non-entrée en matière est dès lors pleinement justifiée en ce qui concerne E______ SA, le recours devant être rejeté en tant qu'il vise la société.</w:t>
      </w:r>
    </w:p>
    <w:p>
      <w:r>
        <w:rPr>
          <w:b/>
        </w:rPr>
        <w:t>E. 4</w:t>
      </w:r>
    </w:p>
    <w:p>
      <w:r>
        <w:t>La recourante fait grief au Ministère public de ne pas être entré en matière sur sa plainte contre H______ et I______, pour abus de confiance.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310 al. 1 et 324 al. 1 CPP) et signifie qu'en principe une non- 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5 et 8 ad art. 310).</w:t>
      </w:r>
    </w:p>
    <w:p>
      <w:r>
        <w:t>- 7/10 - P/19325/2022</w:t>
      </w:r>
    </w:p>
    <w:p>
      <w:r>
        <w:rPr>
          <w:b/>
        </w:rPr>
        <w:t>E. 4.2</w:t>
      </w:r>
    </w:p>
    <w:p>
      <w:r>
        <w:t>Se rend coupable d'abus de confiance quiconque, sans droit, emploie à son profit ou au profit d’un tiers des valeurs patrimoniales qui lui ont été confiées (art. 138 ch. 1 al. 2 CP). D'un point de vue subjectif, l'intention doit porter sur l'appartenance à autrui des valeurs sur le plan économique et sur l'utilisation illicite de celles-ci. Le dol éventuel suffit (A. MACALUSO / L. MOREILLON / N. QUELOZ (éds), Commentaire romand, Code pénal II, vol. II, Partie spéciale : art. 111-392 CP, Bâle 2017, n. 46 ad art. 138).</w:t>
      </w:r>
    </w:p>
    <w:p>
      <w:r>
        <w:rPr>
          <w:b/>
        </w:rPr>
        <w:t>E. 4.3</w:t>
      </w:r>
    </w:p>
    <w:p>
      <w:r>
        <w:t>Selon l'art. 29 CP, un devoir particulier dont la violation fonde ou aggrave la punissabilité et qui incombe uniquement à la personne morale, à la société ou à l'entreprise en raison individuelle est imputé à une personne physique lorsque celle-ci agit notamment en qualité d'organe d'une personne morale ou de membre d'un tel organe (let. a) ou en qualité de dirigeant effectif qui n'est ni un organe ou un membre d'un organe, ni un associé ou un collaborateur (let. d). L'art. 29 CP ne modifie pas le principe selon lequel la personne physique à qui l'infraction est imputée au sein de l'entreprise doit avoir elle-même commis l'acte réprimé, en agissant fautivement et intentionnellement, voire par négligence lorsque celle-ci est réprimée (L. MOREILLON / A. MACALUSO / N. QUELOZ / N. DONGOIS [éds], Commentaire romand, Code pénal I, art. 1-110 CP, 2ème éd., Bâle 2021, n. 6, 19 et 26 ad art. 29 ; cf. aussi arrêt du Tribunal fédéral 6P.101/2001 du 28 novembre 2001 consid. 5a, in SJ 2002 I 129 [art. 172 aCP]). Lorsque les valeurs sont confiées à une personne morale et que le devoir de les utiliser de la manière convenue incombe à cette dernière, l'art. 29 CP permet de punir l'organe qui en a disposé à d'autres fins (arrêt du Tribunal fédéral 6B_162/2015 du 18 novembre 2015 consid. 3.1).</w:t>
      </w:r>
    </w:p>
    <w:p>
      <w:r>
        <w:rPr>
          <w:b/>
        </w:rPr>
        <w:t>E. 4.4</w:t>
      </w:r>
    </w:p>
    <w:p>
      <w:r>
        <w:t>En l'espèce, au moment où les avoirs ont été confiés à E______ SA – le 16 janvier 2020 –, et lorsqu'elle s'est engagée à les restituer – convention du 2 juillet 2020 –, seul B______ était administrateur de la société en question. Les mis en cause n'en sont devenus administrateurs que postérieurement, soit les 6 juillet et 11 septembre 2020. La recourante – dont B______ est l'unique administrateur – a réclamé le montant litigieux le 25 août 2021. Or, entretemps, des différends sont apparus avec le prénommé, de sorte qu'au moment de la demande, les mis en cause ont émis des doutes sur la légitimité de la créance. En effet, au vu des circonstances décrites par le mis en cause lors de son audition à la police, confirmées s'agissant des désaccords par le courrier du 2 août 2021, et des doutes évoqués au cours des procédures civiles, on ne peut en l'état retenir que les incertitudes des mis en cause seraient feintes. Cela</w:t>
      </w:r>
    </w:p>
    <w:p>
      <w:r>
        <w:t>- 8/10 - P/19325/2022 est d'ailleurs corroboré tant par l'ouverture d'une action en libération de dette que par la consignation du montant litigieux en mains d'un avocat, en attente du sort de la créance litigieuse. Il n'existe donc pas de prévention pénale suffisante de la réalisation d'un abus de confiance, faute d'indice d'une volonté de s'approprier indument la somme dont la restitution est en cause. C'est aussi à bon droit que le Ministère public a retenu que le droit civil assurait une protection suffisante à la recourante. Au regard de ce qui précède, les actes d'enquête sollicités n'apparaissent pas probants.</w:t>
      </w:r>
    </w:p>
    <w:p>
      <w:r>
        <w:rPr>
          <w:b/>
        </w:rPr>
        <w:t>E. 5</w:t>
      </w:r>
    </w:p>
    <w:p>
      <w:r>
        <w:t>Justifiée, l'ordonnance querellée sera donc confirmée et le recours rejeté.</w:t>
      </w:r>
    </w:p>
    <w:p>
      <w:r>
        <w:rPr>
          <w:b/>
        </w:rPr>
        <w:t>E. 6</w:t>
      </w:r>
    </w:p>
    <w:p>
      <w:r>
        <w:t>La recourante, qui succombe, supportera les frais envers l'État, fixés en totalité à CHF 2'000.- (art. 428 al. 1 CPP et 13 al. 1 du Règlement fixant le tarif des frais en matière pénale, RTFMP ; E 4 10.03). * * * * *</w:t>
      </w:r>
    </w:p>
    <w:p>
      <w:r>
        <w:t>- 9/10 - P/19325/2022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