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ACPR/832/2022 vom 5. September 2022</w:t>
      </w:r>
    </w:p>
    <w:p>
      <w:r>
        <w:t>GE Cour de justice, 2022-09-05, FR</w:t>
      </w:r>
    </w:p>
    <w:p>
      <w:r>
        <w:rPr>
          <w:b/>
        </w:rPr>
        <w:t xml:space="preserve">Quelle: </w:t>
      </w:r>
      <w:r>
        <w:t>https://mcp.opencaselaw.ch/entscheid/ge_gerichte_ACPR_832_2022</w:t>
      </w:r>
    </w:p>
    <w:p>
      <w:r>
        <w:t>FR: GE_GERICHTE ACPR/832/2022 du 5 septembre 2022</w:t>
      </w:r>
    </w:p>
    <w:p>
      <w:r>
        <w:t>IT: GE_GERICHTE ACPR/832/2022 del 5 settembre 2022</w:t>
      </w:r>
    </w:p>
    <w:p>
      <w:pPr>
        <w:pStyle w:val="Heading2"/>
      </w:pPr>
      <w:r>
        <w:t>Erwägungen</w:t>
      </w:r>
    </w:p>
    <w:p>
      <w:r>
        <w:rPr>
          <w:b/>
        </w:rPr>
        <w:t>E. 1</w:t>
      </w:r>
    </w:p>
    <w:p>
      <w:r>
        <w:t>Les décisions relatives à l’exécution de la détention avant jugement et qui ne portent pas directement sur les relations avec le défenseur, au sens de l’art. 235 al. 4 CPP – tel le refus d’une autorisation de visite à un tiers – sont sujettes à recours selon les modalités prévues par le droit cantonal (art. 235 al. 5 CPP), soit en l’occurrence auprès de la Chambre de céans (art. 30 al. 1 de la loi d'application du code pénal suisse et d'autres lois fédérales en matière pénale, du 27 août 2009 – LaCP; RS E 4 10), qui appliquera les art. 379 à 397 CPP par analogie (art. 30 al. 2 LaCP). Le recours ayant été déposé selon la forme et dans le délai prescrits (art. 385 al. 1 et 396 al. 1 CPP) et émanant du prévenu (art. 104 al. 1 let. a CPP), qui a un intérêt juridiquement protégé à l'annulation ou à la modification de celle-ci (art. 382 al. 1 CPP), il est recevable.</w:t>
      </w:r>
    </w:p>
    <w:p>
      <w:r>
        <w:rPr>
          <w:b/>
        </w:rPr>
        <w:t>E. 2</w:t>
      </w:r>
    </w:p>
    <w:p>
      <w:r>
        <w:t>Le recourant soutient que la décision querellée entrave de manière disproportionnée sa liberté personnelle et son droit au respect de la vie familiale.</w:t>
      </w:r>
    </w:p>
    <w:p>
      <w:r>
        <w:rPr>
          <w:b/>
        </w:rPr>
        <w:t>E. 2.1</w:t>
      </w:r>
    </w:p>
    <w:p>
      <w:r>
        <w:t>La garantie de la liberté personnelle (art. 10 al. 2 Cst.)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(arrêt 1B_202/2016 du 14 juillet 2016 consid. 2.2). Conformément aux exigences de l'art. 36 Cst., les restrictions à ces droits doivent reposer sur une base légale et ne pas aller au-delà de ce qui est nécessaire au but de</w:t>
      </w:r>
    </w:p>
    <w:p>
      <w:r>
        <w:t>- 5/8 - P/18454/2020 l'incarcération et au fonctionnement de l'établissement de détention (ATF 145 I 318 consid. 2.1 et 143 I 241 consid. 3.4). Ce principe est rappelé en matière d'exécution de la détention avant jugement à l'art. 235 al. 1 CPP qui prévoit que la liberté des prévenus en détention ne peut être restreinte que dans la mesure requise par le but de la détention et par le respect de l'ordre et de la sécurité dans l'établissement. Cette disposition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 arrêt 1B_202/2016 du 14 juillet 2016 consid. 2.2). Les garanties de la CEDH relatives aux conditions de détention n'offrent pas une protection plus étendue que celles garanties par la Constitution fédérale (ATF 145 I 318 consid. 2.1 et 143 I 241 consid. 3.4). Selon les règles pénitentiaires européennes, les détenus sont autorisés à communiquer aussi souvent que possible avec leur famille par lettre, par téléphone ou par d'autres formes de communication et à recevoir des visites de leur part. Dans le cas des détenus soumis à une procédure pénale, les visites et autres contacts peuvent être limités et surveillés si cela est nécessaire pour les enquêtes pénales en cours, pour le maintien de l'ordre et de la sécurité, pour la prévention des infractions pénales et pour la protection des victimes d'infractions (ATF 145 I 318 consid. 2.2 et 143 I 241 consid. 4.3). Le risque de collusion peut être justifié par l'intérêt public lié aux besoins de l'instruction en cours, par exemple lorsqu'il est à craindre que le prévenu ne mette sa liberté à profit pour faire disparaître ou altérer les preuves, ou qu'il prenne contact avec des témoins ou d'autres prévenus pour tenter d'influencer leurs déclarations (art. 221 al. 1 let. b CPP).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t>- 6/8 - P/18454/2020</w:t>
      </w:r>
    </w:p>
    <w:p>
      <w:r>
        <w:rPr>
          <w:b/>
        </w:rPr>
        <w:t>E. 2.2</w:t>
      </w:r>
    </w:p>
    <w:p>
      <w:r>
        <w:t>En l'espèce, la mise en prévention complémentaire du 16 août 2022 est récente et l'instruction relative à celle-ci en est encore à ses débuts. Selon le Ministère public, il n'est pas exclu qu'au cours de celle-ci, D______ doive être auditionné, une éventuelle implication de celui-ci dans les activités de son frère restant à déterminer. À ce stade, une telle hypothèse est probable, dans la mesure où les deux frères paraissent proches, A______ s'étant notamment, le 26 juillet 2022, légitimé avec les documents officiels de son frère. Force est par ailleurs de constater que l'atteinte aux droits fondamentaux du recourant reste limitée, dans la mesure où il est autorisé à entretenir des relations personnelles avec son frère par le biais d'échanges épistolaires, soumis à la censure. Compte tenu de la vulnérabilité des victimes présumées, qui sont mineures ou tout juste majeures, et du fait que ces dernières n'ont pas encore toutes été identifiées par la police, une telle restriction reste nécessaire pour les besoins de l'enquête. Au vu de la gravité de la mise en prévention complémentaire, soit l'infraction d'encouragement à la prostitution concernant un nombre encore indéterminé de personnes mineures, elle est proportionnée. À cet égard, on relèvera que, même à suivre le recourant lorsqu'il affirme ne pas avoir tenté d'influencer les personnes impliquées dans la procédure, la restriction vaudrait, de toute façon, pour les faits concernant la première mise en prévention, et non pour les faits complémentaires ayant entrainé sa détention actuelle. En outre, contrairement à ce que soutient le recourant, les visites ne sont pas comparables aux échanges épistolaires, dès lors que son frère et lui pourraient se parler de façon rapprochée, sans que les gardiens ne distinguent leurs propos; ils pourraient également avoir recours à des gestes ou expressions qui leur sont propres et qui n'éveilleraient pas de soupçons. Une visite enregistrée pourrait, par ailleurs, ne pas appréhender certains propos s'ils étaient chuchotés.</w:t>
      </w:r>
    </w:p>
    <w:p>
      <w:r>
        <w:rPr>
          <w:b/>
        </w:rPr>
        <w:t>E. 3</w:t>
      </w:r>
    </w:p>
    <w:p>
      <w:r>
        <w:t>Infondé, le recours doit être rejeté.</w:t>
      </w:r>
    </w:p>
    <w:p>
      <w:r>
        <w:rPr>
          <w:b/>
        </w:rPr>
        <w:t>E. 4</w:t>
      </w:r>
    </w:p>
    <w:p>
      <w:r>
        <w:t>Le recourant, qui succombe, supportera les frais envers l'État, qui comprendront un émolument de CHF 900.- (art. 428 al. 1 CPP et 13 al. 1 du Règlement fixant le tarif des frais en matière pénale, RTFMP ; E 4 10.03).</w:t>
      </w:r>
    </w:p>
    <w:p>
      <w:r>
        <w:rPr>
          <w:b/>
        </w:rPr>
        <w:t>E. 5</w:t>
      </w:r>
    </w:p>
    <w:p>
      <w:r>
        <w:t>L'indemnité du défenseur d'office du recourant, qui fait partie des frais de procédure (art. 422 al. 2 let. a CPP), sera fixée à la fin de la procédure (art. 135 al. 2 CPP). * * * * *</w:t>
      </w:r>
    </w:p>
    <w:p>
      <w:r>
        <w:t>- 7/8 - P/18454/2020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