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ACPR/82/2022 vom 10. Mai 2021</w:t>
      </w:r>
    </w:p>
    <w:p>
      <w:r>
        <w:t>GE Cour de justice, 2021-05-10, FR</w:t>
      </w:r>
    </w:p>
    <w:p>
      <w:r>
        <w:rPr>
          <w:b/>
        </w:rPr>
        <w:t xml:space="preserve">Quelle: </w:t>
      </w:r>
      <w:r>
        <w:t>https://mcp.opencaselaw.ch/entscheid/ge_gerichte_ACPR_82_2022</w:t>
      </w:r>
    </w:p>
    <w:p>
      <w:r>
        <w:t>FR: GE_GERICHTE ACPR/82/2022 du 10 mai 2021</w:t>
      </w:r>
    </w:p>
    <w:p>
      <w:r>
        <w:t>IT: GE_GERICHTE ACPR/82/2022 del 10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saisi qui, participant à la procédure (art. 105 al. 1 let. f et al. 2 CPP), a qualité pour agir, ayant un intérêt juridiquement protégé à la modification ou à l'annulation de la décision querellée (art. 382 al. 1 CPP).</w:t>
      </w:r>
    </w:p>
    <w:p>
      <w:r>
        <w:rPr>
          <w:b/>
        </w:rPr>
        <w:t>E. 2</w:t>
      </w:r>
    </w:p>
    <w:p>
      <w:r>
        <w:t>La recourante conteste le séquestre de son véhicule.</w:t>
      </w:r>
    </w:p>
    <w:p>
      <w:r>
        <w:rPr>
          <w:b/>
        </w:rPr>
        <w:t>E. 2.1</w:t>
      </w:r>
    </w:p>
    <w:p>
      <w:r>
        <w:t>Selon l'art. 263 al. 1 CPP, des objets et des valeurs patrimoniales appartenant au prévenu ou à des tiers peuvent être mis sous séquestre, lorsqu'il est probable qu'ils seront utilisés pour garantir le paiement des frais de procédure, des peines pécuniaires, des amendes et des indemnités (let. b) ou qu'ils devront être confisqués (let. d).</w:t>
      </w:r>
    </w:p>
    <w:p>
      <w:r>
        <w:rPr>
          <w:b/>
        </w:rPr>
        <w:t>E. 2.2</w:t>
      </w:r>
    </w:p>
    <w:p>
      <w:r>
        <w:t>L'art. 263 al. 1 let. d CPP est respecté lorsque la saisie porte sur des objets dont on peut vraisemblablement admettre qu'ils pourront être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w:t>
      </w:r>
    </w:p>
    <w:p>
      <w:r>
        <w:t>- 6/9 - P/14310/2019 (cf. art. 263 al. 2 CPP), ce qui exclut qu'elle résolve des questions juridiques complexes ou qu'elle attende d'être renseignée de manière exacte et complète sur les faits avant d'agir (ATF 116 Ib 96 consid. 3a). Le séquestre peut être maintenu tant que subsiste la probabilité d'une confiscation (ATF 140 IV 57 consid. 4.1.1).</w:t>
      </w:r>
    </w:p>
    <w:p>
      <w:r>
        <w:rPr>
          <w:b/>
        </w:rPr>
        <w:t>E. 2.3</w:t>
      </w:r>
    </w:p>
    <w:p>
      <w:r>
        <w:t>À teneur de l'art. 71 al. 1 CP,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123 IV 70 consid. 3).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w:t>
      </w:r>
    </w:p>
    <w:p>
      <w:r>
        <w:rPr>
          <w:b/>
        </w:rPr>
        <w:t>E. 2.4</w:t>
      </w:r>
    </w:p>
    <w:p>
      <w:r>
        <w:t>En l'espèce, la qualité de l'ayant droit du véhicule n'est pas établie. En effet, tant le prévenu que la recourante ont successivement réclamé la restitution du véhicule, cette dernière afin de permettre au prévenu d'en disposer pour partir en vacances. Ainsi, si le permis de circulation mentionne la recourante comme détentrice de la B______, on ignore, faute de pièces fournies, qui en a payé le prix, total ou partiel, l'attestation non datée et peu précise de l'associé du prévenu devant à l'évidence être confirmée par la comptabilité.</w:t>
      </w:r>
    </w:p>
    <w:p>
      <w:r>
        <w:t>En outre, les montants qui auraient été obtenus par les infractions reprochées sont bien supérieurs aux séquestres des comptes bancaires et postaux ainsi qu'à la valeur d'achat de la voiture.</w:t>
      </w:r>
    </w:p>
    <w:p>
      <w:r>
        <w:t>Les conditions posées à l'art. 263 al. 1 CPP sont, en l'état, remplies.</w:t>
      </w:r>
    </w:p>
    <w:p>
      <w:r>
        <w:t>La recourante, qui mentionne la valeur marchande actuelle de la voiture et les frais de fourrière, semble se référer à la perte de valeur du bien séquestré. Peut-être à raison et c'est probablement pour cela que le Ministère public s'est dit favorable à la vente du véhicule.</w:t>
      </w:r>
    </w:p>
    <w:p>
      <w:r>
        <w:rPr>
          <w:b/>
        </w:rPr>
        <w:t>E. 3</w:t>
      </w:r>
    </w:p>
    <w:p>
      <w:r>
        <w:t>Le recours sera, partant, rejeté.</w:t>
      </w:r>
    </w:p>
    <w:p>
      <w:r>
        <w:t>- 7/9 - P/14310/2019</w:t>
      </w:r>
    </w:p>
    <w:p>
      <w:r>
        <w:rPr>
          <w:b/>
        </w:rPr>
        <w:t>E. 4</w:t>
      </w:r>
    </w:p>
    <w:p>
      <w:r>
        <w:t>La recourante, qui succombe, supportera les frais envers l'État, qui comprendront un émolument de CHF 900.- (art. 428 al. 1 CPP et 13 al. 1 du Règlement fixant le tarif des frais en matière pénale, RTFMP ; E 4 10.03). * * * * *</w:t>
      </w:r>
    </w:p>
    <w:p>
      <w:r>
        <w:t>- 8/9 - P/14310/2019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