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ACPR/82/2020 vom 24. Dezember 2019</w:t>
      </w:r>
    </w:p>
    <w:p>
      <w:r>
        <w:t>GE Cour de justice, 2019-12-24, FR</w:t>
      </w:r>
    </w:p>
    <w:p>
      <w:r>
        <w:rPr>
          <w:b/>
        </w:rPr>
        <w:t xml:space="preserve">Quelle: </w:t>
      </w:r>
      <w:r>
        <w:t>https://mcp.opencaselaw.ch/entscheid/ge_gerichte_ACPR_82_2020</w:t>
      </w:r>
    </w:p>
    <w:p>
      <w:r>
        <w:t>FR: GE_GERICHTE ACPR/82/2020 du 24 décembre 2019</w:t>
      </w:r>
    </w:p>
    <w:p>
      <w:r>
        <w:t>IT: GE_GERICHTE ACPR/82/2020 del 24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les charges, que la Chambre de céans a considérées comme suffisantes et graves, dans ses précédents arrêts. Point n'est donc besoin d'examiner si les soupçons contre le recourant se seraient alourdis, dans une autre procédure non (encore) jointe à la présente.</w:t>
      </w:r>
    </w:p>
    <w:p>
      <w:r>
        <w:rPr>
          <w:b/>
        </w:rPr>
        <w:t>E. 3</w:t>
      </w:r>
    </w:p>
    <w:p>
      <w:r>
        <w:t>Des risques de collusion et réitération ont été retenus par la Chambre de céans dans ses précédents arrêts. Le recourant ne discute pas ce point. Sa situation ne s'étant pas modifiée depuis, il peut être renvoyé aux considérants de l'ACPR/587/2019 du 2 août 2019, lesquels demeurent actuels, les charges ne s'étant pas amoindries (ATF 114 Ia 281 consid. 4c p. 285; 103 Ia 407 consid. 3a p. 409 s.; arrêts 1B_149/2010 du 1er juin 2010 consid. 1.3; 1B_22/2009 du 16 février 2009 consid. 2.1).</w:t>
      </w:r>
    </w:p>
    <w:p>
      <w:r>
        <w:rPr>
          <w:b/>
        </w:rPr>
        <w:t>E. 4</w:t>
      </w:r>
    </w:p>
    <w:p>
      <w:r>
        <w:t>Le recourant propose, à titre de mesure de substitution, un suivi chez son médecins-psychiatre.</w:t>
      </w:r>
    </w:p>
    <w:p>
      <w:r>
        <w:t>- 6/9 - P/21690/2014</w:t>
      </w:r>
    </w:p>
    <w:p>
      <w:r>
        <w:rPr>
          <w:b/>
        </w:rPr>
        <w:t>E. 4.1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4.2</w:t>
      </w:r>
    </w:p>
    <w:p>
      <w:r>
        <w:t>En l'espèce, la Chambre de céans a retenu dans son précédent arrêt du 5 novembre 2019, que seule l’expertise psychiatrique du prévenu permettrait de déterminer les éventuels troubles psychiques dont il souffre et, cas échéant, les mesures adéquates. Pour rappel, l'expertise psychiatrique de 2010 concluait qu'aucun traitement médical ni soins spéciaux n'étaient susceptibles de diminuer le risque de récidive. L'expertise envisagée par le Ministère public en octobre 2019 n'a toutefois, depuis le 4 novembre 2019 – date à laquelle les parties devaient faire parvenir leurs éventuelles observations sur le choix des experts et leur mission –, pas encore été matériellement mise en œuvre, contrairement à ce qu'alléguait le Ministère public dans sa demande de prolongation de la détention provisoire, sans que le dossier ne permette d'expliquer les raisons de ce retard. Le Ministère public sera dès lors enjoint à mettre en œuvre l'expertise sans délai. En l'état, un suivi du recourant par son médecin-psychiatre n'apparaît pas une mesure suffisante à pallier les risques de collusion et réitération, c'est-à-dire empêcher le prévenu de sortir de chez lui pour entraver l'instruction, détruire des éléments de preuve et/ou commettre de nouvelles infractions du même type (cf. ACPR/838/2019 consid. 8), puisqu'il a, selon les faits dont il est prévenu, agi sur une longue période, alors même qu'il était, à en croire l'attestation de ce même médecin qu'il a déposée en 2016 devant la CPAR, suivi par ce dernier (cf. B.c. supra). Aucune autre mesure n'est, en l'état, apte à empêcher la réalisation de ces risques, et le recourant n'en propose d'ailleurs pas.</w:t>
      </w:r>
    </w:p>
    <w:p>
      <w:r>
        <w:rPr>
          <w:b/>
        </w:rPr>
        <w:t>E. 5</w:t>
      </w:r>
    </w:p>
    <w:p>
      <w:r>
        <w:t>Le recourant allègue que son état de santé mentale serait incompatible avec la détention provisoire.</w:t>
      </w:r>
    </w:p>
    <w:p>
      <w:r>
        <w:t>- 7/9 - P/21690/2014</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Les principes développés par la jurisprudence en relation avec l'art. 92 CP, lequel n'entre en ligne de compte que lorsque la condamnation est devenue définitive, s'appliquent par analogie en matière de détention provisoire ou pour des motifs de sûreté (ATF 108 Ia 69 consid. 3 p. 73). À teneur de celle-ci, l'exécution de la peine (art. 92 CP) ne peut en principe être interrompue que si le condamné se trouve, pour une période indéterminée, ou à tout le moins d'une certaine durée, incapable de subir l'exécution de sa peine pour des motifs très sérieux de santé (ATF 136 IV 97 consid. 5.1 p. 101 et les références).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p. 102).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(ATF 108 Ia 69 consid. 2d p. 72; 136 IV 97 consid. 5.1 p. 101 et les arrêts cités). Le seul fait qu'un détenu soit suicidaire et malade du sida ne constitue pas, en général, un motif primant d'emblée le but de la détention provisoire et justifiant d'une manière absolue sa mise en liberté; ainsi, en cas de maladie préexistante, il y a lieu de procéder à une pesée complète des intérêts, en tenant compte de l'atteinte aux intérêts juridiquement protégés du détenu et de l'intérêt public à s'assurer de sa personne (ATF 116 Ia 420 consid. 3a p. 423). De même, il a été jugé – dans le cas d'un prévenu qui avait subi un double pontage coronarien, souffrait d'hypertension et d'hypercholestérolémie et présentait en outre des risques de malaise cardiaque dès la moindre angoisse, qui nécessitaient le recours à une ambulance pour répondre aux convocations du Juge d'instruction – que les raisons de santé invoquées ne suffisaient pas à tenir l'incarcération pour disproportionnée au regard du risque de fuite qui dictait une telle mesure (arrêt du Tribunal fédéral 1P.399/2002 du 4 septembre 2002 consid. 6). Tel a également été le</w:t>
      </w:r>
    </w:p>
    <w:p>
      <w:r>
        <w:t>- 8/9 - P/21690/2014 cas pour 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 Même en cas de maladie grave, il ne se justifie pas d'interrompre la détention si des soins appropriés restent compatibles avec l'exécution de la peine et le but de celle-ci (ATF 136 IV 97 consid. 5.2.1 p. 103; 106 IV 321 consid. 7a p. 324).</w:t>
      </w:r>
    </w:p>
    <w:p>
      <w:r>
        <w:rPr>
          <w:b/>
        </w:rPr>
        <w:t>E. 5.3</w:t>
      </w:r>
    </w:p>
    <w:p>
      <w:r>
        <w:t>En l'espèce, le recourant présentait, en 2010, selon l'expertise psychiatrique établie à cette date, un trouble mixte de la personnalité avec des traits narcissiques et antisociaux, d'intensité modérée. Ce trouble n'était pas assimilable à un grave trouble mental. Selon l'actuel médecin-psychiatre traitant du recourant, il souffrirait aujourd'hui d'un trouble psychotique et de symptômes dépressifs de longue date, avec des éléments délirants de type paranoïde. Bien qu'il estime que la détention en milieu carcéral aurait sur lui des conséquences délétères, le recourant n'a pas demandé à être placé en milieu hospitalier (cf. arrêt du Tribunal fédéral 1B_500/2019 du 25 octobre 2019 consid. 6). Le dossier ne contient pas non plus d'évaluation par le Service de médecine pénitentiaire (ci-après, SMP). Ainsi, bien que le médecin-psychiatre du recourant considère son état comme "incompatible" avec la détention, le recourant ne démontre pas qu'il serait incapable de subir la détention provisoire pour des motifs très sérieux de santé, ni qu'un traitement administré en milieu carcéral ne serait pas de nature à atténuer les effets de la détention. Le grief sera dès lors rejeté. Cela étant, compte tenu des éléments médicaux au dossier, des réponses données par le recourant aux questions posées par le Procureur en audience et du retard dans la mise en oeuvre de l'expertise psychiatrique, le Ministère public sera invité à demander au SMP un rapport sur la situation médicale du recourant, sur l'indication d'un traitement et sur l'éventuelle nécessité d'un placement en milieu médical. Au surplus, la détention provisoire, ordonnée en juillet 2019, respecte le principe de la proportionnalité, dès lors que la peine concrètement encourue, si le recourant devait être reconnu coupable des faits dont il est soupçonné, dépasserait, au vu du nombre d'infractions et de l'antécédent spécifique, largement la détention provisoire ordonnée à ce jour, soit huit mois jusqu'au 24 mars 2020 (art. 197 al. 1 et 212 al. 3 CPP).</w:t>
      </w:r>
    </w:p>
    <w:p>
      <w:r>
        <w:rPr>
          <w:b/>
        </w:rPr>
        <w:t>E. 6</w:t>
      </w:r>
    </w:p>
    <w:p>
      <w:r>
        <w:t>Le recours s'avère ainsi infondé et doit être rejeté.</w:t>
      </w:r>
    </w:p>
    <w:p>
      <w:r>
        <w:rPr>
          <w:b/>
        </w:rPr>
        <w:t>E. 7</w:t>
      </w:r>
    </w:p>
    <w:p>
      <w:r>
        <w:t>Bien que le recourant succombe, les frais seront laissés à la charge de l'État, dès lors que le recours n'était pas inutile sous certains aspects.</w:t>
      </w:r>
    </w:p>
    <w:p>
      <w:r>
        <w:t>- 9/9 - P/21690/2014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