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ACPR/827/2023 vom 21. Juli 2023</w:t>
      </w:r>
    </w:p>
    <w:p>
      <w:r>
        <w:t>GE Cour de justice, 2023-07-21, FR</w:t>
      </w:r>
    </w:p>
    <w:p>
      <w:r>
        <w:rPr>
          <w:b/>
        </w:rPr>
        <w:t xml:space="preserve">Quelle: </w:t>
      </w:r>
      <w:r>
        <w:t>https://mcp.opencaselaw.ch/entscheid/ge_gerichte_ACPR_827_2023</w:t>
      </w:r>
    </w:p>
    <w:p>
      <w:r>
        <w:t>FR: GE_GERICHTE ACPR/827/2023 du 21 juillet 2023</w:t>
      </w:r>
    </w:p>
    <w:p>
      <w:r>
        <w:t>IT: GE_GERICHTE ACPR/827/2023 del 21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Traitée comme un recours, la lettre du 3 août 2023 est recevable pour avoir été déposée selon la forme et – les formalités de notification (art. 85 al. 2 CPP) n'ayant pas été observées – dans le délai prescrits (art. 385 al. 1 et 396 al. 1 CPP), concerner une décision sujette à recours auprès de la Chambre de céans (art. 135 al. 3 let. a CPP) et émaner du défenseur d'office, qui a qualité pour recourir (art. 382 al. 1 CPP).</w:t>
      </w:r>
    </w:p>
    <w:p>
      <w:r>
        <w:rPr>
          <w:b/>
        </w:rPr>
        <w:t>E. 2</w:t>
      </w:r>
    </w:p>
    <w:p>
      <w:r>
        <w:t>Le recourant critique le refus du Ministère public de lui octroyer l'indemnité sollicitée pour son activité de défenseur d'office dans la procédure P/21583/2014.</w:t>
      </w:r>
    </w:p>
    <w:p>
      <w:r>
        <w:rPr>
          <w:b/>
        </w:rPr>
        <w:t>E. 2.1</w:t>
      </w:r>
    </w:p>
    <w:p>
      <w:r>
        <w:t>Selon l'art. 135 al. 5 CPP, la prétention de la Confédération ou du canton se prescrit par dix ans à compter du jour où la décision est entrée en force. Comme ceci ressort du texte légal, la prétention considérée est celle qui est ouverte (contre le prévenu) à la Confédération ou au canton qui a conduit la procédure, au sens de l'art. 135 al. 4 CPP. La créance du défenseur d'office se prescrit, elle, par cinq ans, conformément à l'art. 128 ch. 3 CO. Le délai de prescription commence à courir dès la fin du mandat du défenseur d’office, soit dès l’entrée en force de la décision finale (arrêts du Tribunal fédéral 6B_546/2018 du 16 août 2018 consid. 7 et 6B_1198/2017 du 18 juillet 2018 consid. 6 ; Y. JEANNERET / A. KUHN / C. PERRIER DEPEURSINGE (éds), Commentaire romand : Code de procédure pénale suisse, 2ème éd., Bâle 2019, n. 33 ad art. 135). En effet, l'art. 135 al. 5 CPP ne mentionne pas le défenseur d'office en raison d'un silence qualifié du législateur (M. NIGGLI / M. HEER / H. WIPRÄCHTIGER, Schweizerische Strafprozessordnung /Schweizerische Jugendstrafprozessordnung, Basler Kommentar StPO/JStPO, 3ème éd., Bâle 2023, n. 30 ad art. 135), car il n'y a pas de raison que cette créance-là se prescrive différemment d'une créance ordinaire d'avocat (ibid.). 2.2.1. Selon l'art. 128 ch. 3 CO, se prescrivent par cinq ans, notamment, les actions des avocats pour leurs services professionnels. La prescription court dès que la créance est exigible (art. 130 al. 1 CO). 2.2.2. Si le créancier est rattaché à une catégorie professionnelle mentionnée par cette dernière disposition, toutes les créances issues de services spécifiques à celle-ci sont soumises au délai quinquennal. L'art. 128 ch. 3 CO ne s’applique donc pas à toutes les créances d’une catégorie professionnelle, mais uniquement à celle dont l’activité</w:t>
      </w:r>
    </w:p>
    <w:p>
      <w:r>
        <w:t>- 4/7 - P/21583/2014 ayant donné lieu à la créance entre dans le cadre spécifique défini par la loi. Il faut dès lors que deux conditions soient remplies: premièrement, offrir au client, pour le moins de manière prépondérante, des connaissances juridiques spécifiques destinées à la mise en œuvre immédiate du droit (à l’exclusion des simples prestations de bureau,) et, deuxièmement, pouvoir être rattaché à l’une des catégories explicitement mentionnées à l'article susmentionné. Ainsi, les prétentions d’un avocat en remboursement des dépenses qu’il a avancées pour son client ne sont pas soumises au délai de l'art. 128 ch. 3 CO mais au délai ordinaire de dix ans de l'art. 127 CO (L. THEVENOZ / F. WERRO (éds), Commentaire romand : Code des obligations I, 3ème éd., Bâle 2021, n. 25 ad art. 128 et la référence citée). L’art. 128 ch. 3 CO consacre une exception à la règle des dix ans et doit dès lors être interprété restrictivement (ATF 147 III 78 consid. 6.7). 2.3.1. À la lumière de ce qui précède, le mandat d'office du recourant a pris fin avec le prononcé de l'ordonnance pénale et de non-entrée en matière partielle du</w:t>
      </w:r>
    </w:p>
    <w:p>
      <w:r>
        <w:rPr>
          <w:b/>
        </w:rPr>
        <w:t>E. 4</w:t>
      </w:r>
    </w:p>
    <w:p>
      <w:r>
        <w:t>Le recourant, qui succombe dans une large mesure, supportera les trois quarts des frais de la procédure de recours, fixés en totalité à CHF 900.-, soit CHF 675.- (art. 428 al. 1 CPP et 13 al. 1 du Règlement fixant le tarif des frais en matière pénale, RTFMP ; E 4 10.03), le solde étant laissé à la charge de l'État.</w:t>
      </w:r>
    </w:p>
    <w:p>
      <w:r>
        <w:rPr>
          <w:b/>
        </w:rPr>
        <w:t>E. 5</w:t>
      </w:r>
    </w:p>
    <w:p>
      <w:r>
        <w:t>Le recourant sollicite l'octroi d'une indemnité pour la procédure de recours, qu'il n'a pas chiffrée.</w:t>
      </w:r>
    </w:p>
    <w:p>
      <w:r>
        <w:rPr>
          <w:b/>
        </w:rPr>
        <w:t>E. 5.1</w:t>
      </w:r>
    </w:p>
    <w:p>
      <w:r>
        <w:t>Le défenseur d'office a droit à des dépens lorsqu'il conteste avec succès une décision d'indemnisation (ATF 125 II 518 consid. 5; arrêts du Tribunal fédéral 6B_1251/2016 du 19 juillet 2017 consid. 4 et 6B_439/2012 du 2 octobre 2012 consid. 2).</w:t>
      </w:r>
    </w:p>
    <w:p>
      <w:r>
        <w:rPr>
          <w:b/>
        </w:rPr>
        <w:t>E. 5.2</w:t>
      </w:r>
    </w:p>
    <w:p>
      <w:r>
        <w:t>En l'espèce, compte tenu de l'admission très partielle de son recours et de la brièveté de son écriture (une page), il se justifie de lui allouer, à titre d'indemnité, un montant de CHF 107.70, correspondant à 30 minutes d'activité au tarif horaire de CHF 200.-, TVA à 7.7 % incluse.</w:t>
      </w:r>
    </w:p>
    <w:p>
      <w:r>
        <w:rPr>
          <w:b/>
        </w:rPr>
        <w:t>E. 6</w:t>
      </w:r>
    </w:p>
    <w:p>
      <w:r>
        <w:t>Conformément à l'art. 442 al. 4 CPP, la créance de l'État fondée sur les frais de procédure sera compensée à due concurrence avec le montant alloué au recourant à titre d'indemnité. * * * * *</w:t>
      </w:r>
    </w:p>
    <w:p>
      <w:r>
        <w:t>- 6/7 - P/21583/2014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