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ACPR/827/2022 vom 26. September 2022</w:t>
      </w:r>
    </w:p>
    <w:p>
      <w:r>
        <w:t>GE Cour de justice, 2022-09-26, FR</w:t>
      </w:r>
    </w:p>
    <w:p>
      <w:r>
        <w:rPr>
          <w:b/>
        </w:rPr>
        <w:t xml:space="preserve">Quelle: </w:t>
      </w:r>
      <w:r>
        <w:t>https://mcp.opencaselaw.ch/entscheid/ge_gerichte_ACPR_827_2022</w:t>
      </w:r>
    </w:p>
    <w:p>
      <w:r>
        <w:t>FR: GE_GERICHTE ACPR/827/2022 du 26 septembre 2022</w:t>
      </w:r>
    </w:p>
    <w:p>
      <w:r>
        <w:t>IT: GE_GERICHTE ACPR/827/2022 del 26 settembre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Le recourant conteste le refus de sa libération conditionnelle. 2.1.1. En vertu de l'art. 86 al. 1 CP, l'autorité compétente libère conditionnellement le détenu qui a subi les deux tiers de sa peine si son comportement durant l'exécution</w:t>
      </w:r>
    </w:p>
    <w:p>
      <w:r>
        <w:t>- 8/12 - PM/917/2022 de celle-ci ne s'y oppose pas et s'il n'y a pas lieu de craindre qu'il ne commette de nouveaux crimes ou délits. 2.1.2. Dite libération constitue la règle et son refus l'exception. Il n'est pas nécessaire, pour son octroi, qu'un pronostic positif puisse être posé; il suffit qu’il ne soit pas défavorable. Doivent être pris en considération, pour émettre ce pronostic,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 203; arrêt du Tribunal fédéral 6B_387/2021 du 13 août 2021 consid. 4.1). Pour déterminer si l'on peut courir le risque de récidive, inhérent à toute libération qu'elle soit conditionnelle ou définitive (ATF 119 IV 5 consid. 1b p. 7; arrêt du Tribunal fédéral 6B_387/2021 précité), il faut non seulement tenir compte du degré de probabilité qu'une nouvelle infraction soit commise, mais également de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arrêt du Tribunal fédéral 6B_387/2021 précité). Il sied de comparer les avantages et inconvénients de l'exécution du solde de la peine avec la libération conditionnelle (ATF 124 IV 193 consid. 4a et consid. 5b/bb p. 196 et ss; arrêt du Tribunal fédéral 6B_387/2021 précité). Dans l'émission du pronostic, les juridictions cantonales disposent d'un large pouvoir d'appréciation (ATF 133 IV 201 précité, consid. 2.3 p. 204; arrêt du Tribunal fédéral 6B_387/2021 précité). 2.1.3. Lorsque le détenu qui requiert sa libération conditionnelle a commis un crime visé à l’art. 64 al. 1 CP, parmi lesquels figure l'infraction à l'art. 190 CP, et que l’autorité d’exécution n’est pas en mesure de se prononcer de manière catégorique sur son caractère dangereux pour la collectivité (art. 75a al. 1 let. b CP), une commission spécialisée (art. 62d al. 2 CP) est tenue d’apprécier ce même caractère (art. 75a al. 1 CP), soit à Genève la CED (art. 4 LaCP).</w:t>
      </w:r>
    </w:p>
    <w:p>
      <w:r>
        <w:rPr>
          <w:b/>
        </w:rPr>
        <w:t>E. 2.2</w:t>
      </w:r>
    </w:p>
    <w:p>
      <w:r>
        <w:t>En l'espèce, le projet du recourant de se rendre en France auprès de son frère ou, à défaut, en Allemagne, pour y trouver du travail comme cuisinier ou comme peintre reste vague et n'est étayé par aucun élément concret. Le recourant n'explique pas en quoi il serait en mesure d'exercer légalement une activité professionnelle dans ces deux pays ni d'y trouver du travail. Par ailleurs, aucun cadre ne serait concrètement mis en place pour l'aider à rester abstinent à l'alcool, malgré le lien entre la consommation de cette substance et la commission de l'infraction à l'art. 190</w:t>
      </w:r>
    </w:p>
    <w:p>
      <w:r>
        <w:t>- 9/12 - PM/917/2022 CP. Au vu de ces circonstances, il est fort à craindre que le recourant se retrouve, à sa sortie de détention, dans la même situation personnelle qu'auparavant, sans statut légal et sans occupation professionnelle ni encadrement. Le recourant ne bénéficierait ainsi pas, à l'extérieur, de facteurs de protection permettant de relativiser son risque de récidive en matière sexuelle, considéré comme bien au-dessus de la moyenne, mais serait, à nouveau, livré à lui-même, sans possibilité pratique de réinsertion. À cela s'ajoutent le nombre important de ses antécédents et son refus – toujours actuel – de collaborer avec les autorités, tant en ce qui concerne la détermination de sa véritable origine que dans le cadre de l'évaluation criminologique. S'agissant de cette dernière, le recourant n'explique pas en quoi elle aurait été menée sans respecter "les règles de l'art". À cet égard, le fait que seul un entretien ait été mené et que le recourant affirme n'avoir donné que des réponses brèves faute d'avoir été "mis à l'aise" ne constituent pas des éléments suffisants pour remettre en question ladite évaluation et apprécier la force probante de celle-ci. Le reproche de ne pas avoir été mis à l'aise pour aborder la problématique de la sexualité constituerait plutôt, au contraire, l'indice que le recourant n'a pas encore pris le recul nécessaire sur ladite problématique et que le but de la détention n'est, par conséquent, pas encore atteint. Enfin, contrairement à ce qu'affirme le recourant, les éléments précités étaient suffisants pour permettre à l'autorité de se prononcer de manière catégorique sur la dangerosité du condamné pour la collectivité, étant relevé que le degré de risque exigé est moindre s'agissant d'une infraction à l'intégrité sexuelle. Partant, un préavis de la CED ne s'avérait pas nécessaire à l'aune des conditions de l'art. 75a al. 1 let. b CP.</w:t>
      </w:r>
    </w:p>
    <w:p>
      <w:r>
        <w:rPr>
          <w:b/>
        </w:rPr>
        <w:t>E. 3</w:t>
      </w:r>
    </w:p>
    <w:p>
      <w:r>
        <w:t>Justifié, le jugement querellé sera donc confirmé.</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Le défenseur d'office du recourant n'a pas produit d'état de frais en instance de recours.</w:t>
      </w:r>
    </w:p>
    <w:p>
      <w:r>
        <w:rPr>
          <w:b/>
        </w:rPr>
        <w:t>E. 5.1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w:t>
      </w:r>
    </w:p>
    <w:p>
      <w:r>
        <w:t>- 10/12 - PM/917/2022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5.2</w:t>
      </w:r>
    </w:p>
    <w:p>
      <w:r>
        <w:t>En l'occurrence, il sera alloué au défenseur, ex aequo et bono, une indemnité de CHF 800.- TTC pour son activité devant l'instance de recours. * * * * *</w:t>
      </w:r>
    </w:p>
    <w:p>
      <w:r>
        <w:t>- 11/12 - PM/917/2022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