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ACPR/822/2025 vom 15. August 2025</w:t>
      </w:r>
    </w:p>
    <w:p>
      <w:r>
        <w:t>GE Cour de justice, 2025-08-15, FR</w:t>
      </w:r>
    </w:p>
    <w:p>
      <w:r>
        <w:rPr>
          <w:b/>
        </w:rPr>
        <w:t xml:space="preserve">Quelle: </w:t>
      </w:r>
      <w:r>
        <w:t>https://mcp.opencaselaw.ch/entscheid/ge_gerichte_ACPR_822_2025</w:t>
      </w:r>
    </w:p>
    <w:p>
      <w:r>
        <w:t>FR: GE_GERICHTE ACPR/822/2025 du 15 août 2025</w:t>
      </w:r>
    </w:p>
    <w:p>
      <w:r>
        <w:t>IT: GE_GERICHTE ACPR/822/2025 del 15 agosto 2025</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et dans le délai prescrits (art. 385 al. 1 et 396 al. 1 CPP), concerne une ordonnance sujette à recours auprès de la Chambre de céans (art. 393 al. 1 let. a CPP) et émane du plaignant, partie à la procédure (art. 104 al. 1 let. b CPP).</w:t>
      </w:r>
    </w:p>
    <w:p>
      <w:r>
        <w:rPr>
          <w:b/>
        </w:rPr>
        <w:t>E. 2.2</w:t>
      </w:r>
    </w:p>
    <w:p>
      <w:r>
        <w:t>La qualité pour recourir de la partie plaignante, du lésé ou du dénonciateur contre une ordonnance de classement ou de non-entrée en matière est subordonnée à la condition qu'ils soient directement touchés par l'infraction et puissent faire valoir un intérêt juridiquement protégé à l'annulation de la décision. En règle générale seul peut se prévaloir d'une atteinte directe le titulaire du bien juridique protégé par la disposition pénale qui a été enfreinte (ATF 129 IV 95 consid. 3.1 et les arrêts cités), ce qui exclut les personnes subissant un préjudice indirect ou par ricochet, tel le proche ou le créancier (ATF 92 IV 1 consid. 1 p. 2 ; arrêt du Tribunal fédéral 1B_9/2015 du 23 juin 2015 consid. 2.3.1 et les références doctrinales citées ; G. PIQUEREZ, Traité de procédure pénale suisse, 2006, n. 1027 p. 656).</w:t>
      </w:r>
    </w:p>
    <w:p>
      <w:r>
        <w:rPr>
          <w:b/>
        </w:rPr>
        <w:t>E. 2.3</w:t>
      </w:r>
    </w:p>
    <w:p>
      <w:r>
        <w:t>En l’espèce, il ressort du dossier que la titulaire de la relation bancaire à laquelle est rattaché le coffre-fort n° 1______ est C______, soit la mère du plaignant. Seule cette dernière revêt ainsi la qualité de lésée (art. 115 al. 1 CPP). Le fait pour le</w:t>
      </w:r>
    </w:p>
    <w:p>
      <w:r>
        <w:t>- 5/8 - P/11692/2025 recourant de disposer éventuellement d’une procuration sur ladite relation ne saurait lui conférer cette qualité également. Il s’ensuit que le recourant ne dispose d'aucun intérêt juridique protégé pour recourir contre l’ordonnance de non-entrée en matière. Son recours est, partant, irrecevable. Ne le serait-il pas qu’il devrait de toute manière être rejeté.</w:t>
      </w:r>
    </w:p>
    <w:p>
      <w:r>
        <w:rPr>
          <w:b/>
        </w:rPr>
        <w:t>E. 3.1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existe des empêchements de procéder (let. b).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 arrêt du Tribunal fédéral 6B_196/2020 du 14 octobre 2020 consid. 3.1). Dans le doute, lorsque les conditions d'une non-entrée en matière ne sont pas réalisées avec une certitude absolue, l'instruction doit être ouverte (arrêt 6B_196/2020 précité ; ATF 143 IV 241 consid. 2.2.1 ; ATF 138 IV 86 consid. 4.1 ; ATF 137 IV 219 consid. 7). Une décision de non-entrée en matière peut se justifier même si les conditions du crime/délit sont réalisées, pour autant qu'aucun acte d'enquête raisonnable ne permette d'en découvrir l'auteur (arrêt du Tribunal fédéral 1B_67/2012 du 29 mai 2012 consid. 3.2). Il sied alors de mettre en balance les intérêts en jeu (ibidem), le principe de proportionnalité s'appliquant à toutes les activités étatiques (art. 5 al. 2 Cst. féd.), y compris aux investigations pénales (ACPR/555/2025 du 17 juillet 2025 consid. 3.3; ACPR/888/2021 du 16 décembre 2021 consid. 3.2 in fine ; Y. JEANNERET / A. KUHN / C. PERRIER DEPEURSINGE (éds), Commentaire romand : Code de procédure pénale suisse, 2ème éd., Bâle 2019, n. 10d ad art. 310).</w:t>
      </w:r>
    </w:p>
    <w:p>
      <w:r>
        <w:t>- 6/8 - P/11692/2025</w:t>
      </w:r>
    </w:p>
    <w:p>
      <w:r>
        <w:rPr>
          <w:b/>
        </w:rPr>
        <w:t>E. 3.2</w:t>
      </w:r>
    </w:p>
    <w:p>
      <w:r>
        <w:t>Se rend coupable de vol (art. 139 CP) quiconque, pour se procurer ou procurer à un tiers un enrichissement illégitime, soustrait une chose mobilière appartenant à autrui dans le but de se l’approprier.</w:t>
      </w:r>
    </w:p>
    <w:p>
      <w:r>
        <w:rPr>
          <w:b/>
        </w:rPr>
        <w:t>E. 3.3</w:t>
      </w:r>
    </w:p>
    <w:p>
      <w:r>
        <w:t>En l’occurrence, il ressort des investigations préliminaires du Ministère public que la banque ne tient pas de journal des passages aux coffres-forts lorsque les clés d’un compartiment ne sont pas déposées auprès d’elle, ce qui est le cas ici. Partant, il n’est pas possible de savoir qui s’est rendu au coffre-fort n° 1______ entre novembre 2024 et 30 avril 2025, la banque précisant seulement que ledit coffre avait été visité le 30 décembre 2024 et le 30 avril 2025. Le fait que l'auteur ou les auteurs de l’infraction dénoncée ne puisse(nt) en l'espèce pas être identifié(s) constitue ainsi un motif de prononcer une ordonnance de non-entrée en matière. L’ordonnance est également justifiée en tant qu'aucun acte d'enquête raisonnable supplémentaire ne pourrait permettre d'en découvrir l'auteur. La production du listing des activités du coffre-fort entre le 1er novembre 2024 et le 30 avril 2025 a déjà été formellement ordonnée et un nouvel ordre de dépôt de toutes autres images de vidéosurveillance de la banque serait manifestement voué à l’échec compte tenu du temps écoulé, si tant est qu'il puisse être considéré comme proportionné. On perçoit par ailleurs mal ce que l'audition des employés de la banque pourrait apporter, la soustraction litigieuse ayant été effectuée à l’intérieur d’un compartiment d’un coffre- fort dont seuls le recourant et sa mère possèdent la clé. Enfin, une éventuelle responsabilité contractuelle de la banque n'a pas à être investiguée ici, d'éventuels manquements en termes de sécurité étant de nature civile (cf. ACPR/657/2025 du 15 août 2025).</w:t>
      </w:r>
    </w:p>
    <w:p>
      <w:r>
        <w:rPr>
          <w:b/>
        </w:rPr>
        <w:t>E. 4</w:t>
      </w:r>
    </w:p>
    <w:p>
      <w:r>
        <w:t>Le recourant, qui succombe, supportera les frais envers l'État, qui seront arrêtés à CHF 1'000.- (art. 428 al. 1 CPP et 13 al. 1 du Règlement fixant le tarif des frais en matière pénale, RTFMP ; E 4 10.03). * * * * *</w:t>
      </w:r>
    </w:p>
    <w:p>
      <w:r>
        <w:t>- 7/8 - P/11692/2025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