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ACPR/818/2023 vom 7. August 2023</w:t>
      </w:r>
    </w:p>
    <w:p>
      <w:r>
        <w:t>GE Cour de justice, 2023-08-07, FR</w:t>
      </w:r>
    </w:p>
    <w:p>
      <w:r>
        <w:rPr>
          <w:b/>
        </w:rPr>
        <w:t xml:space="preserve">Quelle: </w:t>
      </w:r>
      <w:r>
        <w:t>https://mcp.opencaselaw.ch/entscheid/ge_gerichte_ACPR_818_2023</w:t>
      </w:r>
    </w:p>
    <w:p>
      <w:r>
        <w:t>FR: GE_GERICHTE ACPR/818/2023 du 7 août 2023</w:t>
      </w:r>
    </w:p>
    <w:p>
      <w:r>
        <w:t>IT: GE_GERICHTE ACPR/818/2023 del 7 agosto 2023</w:t>
      </w:r>
    </w:p>
    <w:p>
      <w:pPr>
        <w:pStyle w:val="Heading2"/>
      </w:pPr>
      <w:r>
        <w:t>Erwägungen</w:t>
      </w:r>
    </w:p>
    <w:p>
      <w:r>
        <w:rPr>
          <w:b/>
        </w:rPr>
        <w:t>E. 1.1</w:t>
      </w:r>
    </w:p>
    <w:p>
      <w:r>
        <w:t>Le recours est recevable pour avoir été déposé selon la forme et dans le délai prescrits (art. 385 al. 1 et 396 al. 1 CPP), concerner une décision rendue par le SAPEM dans une matière où le service est compétent (art. 40 al. 1 et 5 al. 1 let. d LaCP et 11 al. 1 let. e du règlement genevois sur l'exécution des peines et mesures du 19 mars 2014; REPM – E 4 55.05) contre laquelle le recours auprès de la Chambre de céans est ouvert (art. 439 al. 1 CPP cum art. 42 al. 1 let. a LaCP) et émaner du condamné visé par la décision querellée.</w:t>
      </w:r>
    </w:p>
    <w:p>
      <w:r>
        <w:rPr>
          <w:b/>
        </w:rPr>
        <w:t>E. 1.2</w:t>
      </w:r>
    </w:p>
    <w:p>
      <w:r>
        <w:t>Dans la mesure où la décision querellée porte sur le refus d'une conduite pour une date échue, se pose la question de savoir si le recourant a toujours un intérêt juridiquement protégé à solliciter son réexamen. Selon l'art. 382 al. 1 CPP, toute partie qui a un intérêt juridiquement protégé à l'annulation ou à la modification d'une décision a qualité pour recourir contre celle- ci. Le recourant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(Y. JEANNERET / A. KUHN / C. PERRIER DEPEURSINGE (éds), Commentaire romand : Code de procédure pénale suisse, 2ème éd., Bâle 2019, n. 2 ad art. 382 CPP). La renonciation à l'exigence d'un intérêt actuel et pratique n'est admise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ces conditions étant cumulatives (arrêts du Tribunal fédéral 6B_131/2011 du 26 avril 2011, 6B_1011/2010 du 18 février 2011 ; DCPR/147/2011 du 24 juin 2011).</w:t>
      </w:r>
    </w:p>
    <w:p>
      <w:r>
        <w:rPr>
          <w:b/>
        </w:rPr>
        <w:t>E. 1.3</w:t>
      </w:r>
    </w:p>
    <w:p>
      <w:r>
        <w:t>En l'espèce, il se justifie de renoncer à l'exigence d'un intérêt actuel, dès lors que le recourant est susceptible de demander de nouveaux allègements dans des circonstances analogues et qu'un nouveau recours contre un éventuel refus, fondé sur les mêmes motifs que ceux invoqués ici par l'autorité intimée, pourrait également être tranché. Le recours est ainsi recevable.</w:t>
      </w:r>
    </w:p>
    <w:p>
      <w:r>
        <w:t>- 8/12 - PS/89/2023</w:t>
      </w:r>
    </w:p>
    <w:p>
      <w:r>
        <w:rPr>
          <w:b/>
        </w:rPr>
        <w:t>E. 2</w:t>
      </w:r>
    </w:p>
    <w:p>
      <w:r>
        <w:t>La Chambre pénale de recours peut décider d'emblée de traiter sans échange d'écritures ni débats les recours manifestement mal fondés (art. 390 al. 2 et</w:t>
      </w:r>
    </w:p>
    <w:p>
      <w:r>
        <w:rPr>
          <w:b/>
        </w:rPr>
        <w:t>E. 5</w:t>
      </w:r>
    </w:p>
    <w:p>
      <w:r>
        <w:t>Le recourant, qui succombe, supportera les frais envers l'État, fixés en totalité à CHF 400.-, y inclus un émolument de décision (art. 428 al. 1 CPP et 13 al. 1 du Règlement fixant le tarif des frais en matière pénale, RTFMP ; E 4 10.03). * * * * *</w:t>
      </w:r>
    </w:p>
    <w:p>
      <w:r>
        <w:t>- 11/12 - PS/89/2023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