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ACPR/818/2020 vom 3. November 2020</w:t>
      </w:r>
    </w:p>
    <w:p>
      <w:r>
        <w:t>GE Cour de justice, 2020-11-03, FR</w:t>
      </w:r>
    </w:p>
    <w:p>
      <w:r>
        <w:rPr>
          <w:b/>
        </w:rPr>
        <w:t xml:space="preserve">Quelle: </w:t>
      </w:r>
      <w:r>
        <w:t>https://mcp.opencaselaw.ch/entscheid/ge_gerichte_ACPR_818_2020</w:t>
      </w:r>
    </w:p>
    <w:p>
      <w:r>
        <w:t>FR: GE_GERICHTE ACPR/818/2020 du 3 novembre 2020</w:t>
      </w:r>
    </w:p>
    <w:p>
      <w:r>
        <w:t>IT: GE_GERICHTE ACPR/818/2020 del 3 novembre 2020</w:t>
      </w:r>
    </w:p>
    <w:p>
      <w:pPr>
        <w:pStyle w:val="Heading2"/>
      </w:pPr>
      <w:r>
        <w:t>Erwägungen</w:t>
      </w:r>
    </w:p>
    <w:p>
      <w:r>
        <w:rPr>
          <w:b/>
        </w:rPr>
        <w:t>E. 1</w:t>
      </w:r>
    </w:p>
    <w:p>
      <w:r>
        <w:t>En tant qu'ils ont été interjetés par la même partie et ont trait au même complexe de faits, il se justifie de joindre les dix recours, sur lesquels la Chambre de céans statuera par un seul et même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La recourante invoque une violation de son droit d'être entendue, au motif, si on la comprend bien, qu'elle n'a pas été invitée à se déterminer avant que les ordonnances querellées ne soient rendues.</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Ce droit n'est toutefois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du Tribunal fédéral 4A_453/2016 du 16 février 2017 consid. 4.2.3). À défaut de cette démonstration, en effet, le renvoi de la cause à</w:t>
      </w:r>
    </w:p>
    <w:p>
      <w:r>
        <w:t>- 6/10 - P/10989/2020 l'autorité précédente en raison de cette seule violation constituerait une vaine formalité et conduirait seulement à prolonger inutilement la procédure (ATF 143 IV 380 consid. 1.4.1; arrêt du Tribunal fédéral 5A_963/2018 du 6 mai 2019 consid. 4.2.1 et les références).</w:t>
      </w:r>
    </w:p>
    <w:p>
      <w:r>
        <w:rPr>
          <w:b/>
        </w:rPr>
        <w:t>E. 4.2</w:t>
      </w:r>
    </w:p>
    <w:p>
      <w:r>
        <w:t>En l'espèce, s'il est vrai que le Ministère public n'a pas consulté la recourante avant de rendre les ordonnances querellées, l'éventuelle violation du droit d'être entendue de la prévenue est réparée par la procédure de recours, dans le cadre de laquelle elle a fait valoir ses moyens, que la Chambre de céans examine avec un plein pouvoir d'examen en fait et en droit (art. 391 al. 1 et 393 al. 2 CPP). Le grief sera dès lors rejeté.</w:t>
      </w:r>
    </w:p>
    <w:p>
      <w:r>
        <w:rPr>
          <w:b/>
        </w:rPr>
        <w:t>E. 5.1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Le principe d'unité de la procédure découle déjà de l'art. 49 CP et, sous réserve d'exceptions, s'applique à toutes les situations où plusieurs infractions, respectivement plusieurs personnes, doivent être jugées ensemble (A. KUHN / Y. JEANNERET (éds), Commentaire romand : Code de procédure pénale suisse, 2ème éd., Bâle 2019, n. 1 ad art. 29). Ce principe tend à éviter les jugements contradictoires quant à l'état de fait, l'appréciation juridique ou la quotité de la peine. Il sert en outre l'économie de la procédure (ATF 138 IV 214 consid. 3 ;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w:t>
      </w:r>
    </w:p>
    <w:p>
      <w:r>
        <w:rPr>
          <w:b/>
        </w:rPr>
        <w:t>E. 5.2</w:t>
      </w:r>
    </w:p>
    <w:p>
      <w:r>
        <w:t>L'art. 30 CPP prévoit la possibilité de déroger au principe de l'unité de la procédure. Cette faculté entraîne une extension de l'unité de la procédure à d'autres situations que celles visées par l'art. 29 CPP (ACPR/133/2013 du 10 avril 2013 ; A. KUHN / Y. JEANNERET, op. cit., n. 3 ad art. 30). Une telle dérogation exige</w:t>
      </w:r>
    </w:p>
    <w:p>
      <w:r>
        <w:t>- 7/10 - P/10989/2020 toutefois des raisons objectives, ce qui exclut de se fonder, par exemple, sur de simples motifs de commodité (Ibid., n. 2 ad art. 30).</w:t>
      </w:r>
    </w:p>
    <w:p>
      <w:r>
        <w:rPr>
          <w:b/>
        </w:rPr>
        <w:t>E. 5.3</w:t>
      </w:r>
    </w:p>
    <w:p>
      <w:r>
        <w:t>En l'espèce, la présente procédure concerne la plainte des époux D/E______ contre la recourante, du 19 juin 2020, pour diffamation, par suite des propos publiés par celle-ci sur F______ les accusant d'être "soupçonnés de mauvais traitement". Les onze procédures dont la jonction avec la présente procédure a été ordonnée sont toutes dirigées contre la recourante. Il existe donc, pour cette raison déjà, un intérêt à ce que plusieurs jugements ne soient pas rendus séparément. Peu importe, à cet égard, que l'une des procédures (P/1______/2020) ait déjà donné lieu à une ordonnance pénale, puisque, par suite de l'opposition formée par la recourante, le Ministère public demeure saisi de ladite cause (art. 355 al. 1 CPP), qui peut donc être jointe à la présente. Toutes les plaintes concernent, dans les procédures en question, des soupçons de diffamation par suite de propos tenus par la recourante, notamment sur les réseaux sociaux. Si deux des plaintes ont été déposées par des personnes extérieures au groupe familial, les faits restent similaires, les plaignants invoquant aussi une diffamation sur F______. Au demeurant, la loi n'exclut pas la jonction lorsque les parties plaignantes ne sont pas identiques. Les griefs de la recourante en lien avec le Procureur chargé de la présente procédure concernent sa demande de récusation de ce magistrat, déjà tranchée par l'ACPR/696/2020 du 1er octobre 2020, de sorte qu'ils sont irrelevants. Le grief tiré du refus de défense d'office, si tant est qu'il eût été pertinent ici, est rendu sans objet par l'ordonnance du 16 octobre 2020 ayant nommé à la recourante un défenseur d'office. Il s'ensuit que les ordonnances querellées, conformes à la loi, ne violent pas le droit de la recourante à une procédure équitable ni ne portent atteinte à la sécurité du droit, ou à celle de la précitée. Infondés, les recours seront dès lors rejetés.</w:t>
      </w:r>
    </w:p>
    <w:p>
      <w:r>
        <w:rPr>
          <w:b/>
        </w:rPr>
        <w:t>E. 6</w:t>
      </w:r>
    </w:p>
    <w:p>
      <w:r>
        <w:t>Justifiées, les ordonnances querellées seront confirmées.</w:t>
      </w:r>
    </w:p>
    <w:p>
      <w:r>
        <w:rPr>
          <w:b/>
        </w:rPr>
        <w:t>E. 7</w:t>
      </w:r>
    </w:p>
    <w:p>
      <w:r>
        <w:t>La recourante sollicite le bénéfice de l'assistance judiciaire devant l'autorité de recours, par quoi on comprend qu'elle souhaite être dispensée des frais du recours, puisqu'elle est désormais au bénéfice d'une défense d'office.</w:t>
      </w:r>
    </w:p>
    <w:p>
      <w:r>
        <w:t>- 8/10 - P/10989/2020</w:t>
      </w:r>
    </w:p>
    <w:p>
      <w:r>
        <w:rPr>
          <w:b/>
        </w:rPr>
        <w:t>E. 7.1</w:t>
      </w:r>
    </w:p>
    <w:p>
      <w:r>
        <w:t>Selon le Tribunal fédéral, même lorsque le prévenu remplit la condition de moyens et obtient l'assistance judiciaire, il peut être condamné, s'il succombe, à prendre à sa charge les frais de la procédure dans la mesure de ses moyens (art. 135 al. 4 CPP; arrêt du Tribunal fédéral 6B_380/2013 du 16 janvier 2014, consid. 5). La garantie constitutionnelle de l'art. 29 al. 3 de la Constitution fédérale ne donne aucun droit à une exonération définitive de ces frais. Par conséquent, le prévenu impécunieux qui succombe en procédure de recours peut, même s'il est au bénéfice de la défense d'office, se voir mettre les frais de la procédure à sa charge dans la mesure de ses moyens.</w:t>
      </w:r>
    </w:p>
    <w:p>
      <w:r>
        <w:rPr>
          <w:b/>
        </w:rPr>
        <w:t>E. 7.2</w:t>
      </w:r>
    </w:p>
    <w:p>
      <w:r>
        <w:t>En l'espèce, les recours étant voués à l'échec, les frais de la procédure de recours seront mis à la charge de la recourante, bien qu'elle bénéficie d'une défense d'office.</w:t>
      </w:r>
    </w:p>
    <w:p>
      <w:r>
        <w:rPr>
          <w:b/>
        </w:rPr>
        <w:t>E. 8</w:t>
      </w:r>
    </w:p>
    <w:p>
      <w:r>
        <w:t>La recourante, qui succombe, supportera les frais envers l'État, qui seront fixés, pour tenir compte de sa situation financière, à CHF 500.- en totalité, y compris l'émolument de décision (art. 428 al. 1 CPP et 13 al. 1 du Règlement fixant le tarif des frais en matière pénale, RTFMP ; E 4 10.03), étant précisé que la décision de refus de l'assistance judiciaire est rendue sans frais (art. 20 RAJ). * * * * *</w:t>
      </w:r>
    </w:p>
    <w:p>
      <w:r>
        <w:t>- 9/10 - P/10989/2020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