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ACPR/817/2025 vom 10. September 2025</w:t>
      </w:r>
    </w:p>
    <w:p>
      <w:r>
        <w:t>GE Cour de justice, 2025-09-10, FR</w:t>
      </w:r>
    </w:p>
    <w:p>
      <w:r>
        <w:rPr>
          <w:b/>
        </w:rPr>
        <w:t xml:space="preserve">Quelle: </w:t>
      </w:r>
      <w:r>
        <w:t>https://mcp.opencaselaw.ch/entscheid/ge_gerichte_ACPR_817_2025</w:t>
      </w:r>
    </w:p>
    <w:p>
      <w:r>
        <w:t>FR: GE_GERICHTE ACPR/817/2025 du 10 septembre 2025</w:t>
      </w:r>
    </w:p>
    <w:p>
      <w:r>
        <w:t>IT: GE_GERICHTE ACPR/817/2025 del 10 settembre 2025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demande à pouvoir compléter le recours. Il est toutefois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ACPR/291/2013 du 24 juin 2013; Y. JEANNERET / A. KUHN / C. PERRIER DEPEURSINGE (éds), Commentaire romand : Code de procédure pénale suisse, 2ème éd., Bâle 2019, n. 3 ad art. 385). Par conséquent, cette requête sera rejetée.</w:t>
      </w:r>
    </w:p>
    <w:p>
      <w:r>
        <w:rPr>
          <w:b/>
        </w:rPr>
        <w:t>E. 4</w:t>
      </w:r>
    </w:p>
    <w:p>
      <w:r>
        <w:t>La recourante conteste la jonction des procédures au motif qu'elles concernent des faits distincts et qu'elle entrainerait une violation de sa sphère privée et de ses droits de défense.</w:t>
      </w:r>
    </w:p>
    <w:p>
      <w:r>
        <w:rPr>
          <w:b/>
        </w:rPr>
        <w:t>E. 4.1</w:t>
      </w:r>
    </w:p>
    <w:p>
      <w:r>
        <w:t>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w:t>
      </w:r>
    </w:p>
    <w:p>
      <w:r>
        <w:rPr>
          <w:b/>
        </w:rPr>
        <w:t>E. 4.2</w:t>
      </w:r>
    </w:p>
    <w:p>
      <w:r>
        <w:t>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4.3</w:t>
      </w:r>
    </w:p>
    <w:p>
      <w:r>
        <w:t>En l'espèce, la recourante est soupçonnée d'avoir commis diverses infractions, objets des deux affaires précitées. Ces infractions doivent donc, en principe, être poursuivies conjointement (art. 29 al. 1 let. a CPP). Aucun motif ne milite pour que les causes soient traitées séparément (art. 30 CPP). En effet, leur état d'avancement est analogue. Aucune audition n'a, pour le moment, pu être effectuée dans ces procédures et ces dernières ne paraissent pas particulièrement complexes. À l'inverse, la jonction querellée présentera l'avantage, selon ce que le Ministère public décidera, d'éviter de devoir rendre deux décisions au fond à l'encontre de la prévenue et, le cas échéant, d'avoir à prononcer une peine complémentaire (art. 49 al. 2 CP). En outre, la jonction critiquée n'entraîne pas, par elle-même, d'accès aux informations relevant de la sphère privée de la recourante par l'une ou l'autre des parties plaignantes constituées dans les procédures P/17244/2024 et P/20340/2025, car les conditions de consultation d'un dossier pénal en cours sont régies par des normes spécifiques et distinctes (cf. art. 101, 102 al. 1 et 108 CPP; ACPR/628/2021 du 23 septembre 2021 consid. 2.2). Enfin, la recourante n'explique pas en quoi ses droits procéduraux seraient violés par la jonction contestée. Les motifs invoqués par la recourante relèvent plutôt des conséquences inhérentes à toute jonction. On ne discerne pas quel serait son préjudice en cas de jonction. Il s'ensuit que l'ordonnance déférée, conforme aux réquisits des art. 29 et 30 CPP, est exempte de critique.</w:t>
      </w:r>
    </w:p>
    <w:p>
      <w:r>
        <w:t>- 6/8 - P/17244/2024 5. Le recours devra donc être rejeté. 6. Le prononcé du présent arrêt rend sans objet la demande d'effet suspensif.</w:t>
      </w:r>
    </w:p>
    <w:p>
      <w:r>
        <w:rPr>
          <w:b/>
        </w:rPr>
        <w:t>E. 7</w:t>
      </w:r>
    </w:p>
    <w:p>
      <w:r>
        <w:t>La recourante, qui succombe, supportera les frais envers l'État, fixés en totalité à CHF 900.- pour la procédure de recours (art. 428 al. 1 CPP et 13 al. 1 du Règlement fixant le tarif des frais en matière pénale, RTFMP ; E 4 10.03). * * * * *</w:t>
      </w:r>
    </w:p>
    <w:p>
      <w:r>
        <w:t>- 7/8 - P/17244/2024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