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ACPR/816/2023 vom 26. September 2023</w:t>
      </w:r>
    </w:p>
    <w:p>
      <w:r>
        <w:t>GE Cour de justice, 2023-09-26, FR</w:t>
      </w:r>
    </w:p>
    <w:p>
      <w:r>
        <w:rPr>
          <w:b/>
        </w:rPr>
        <w:t xml:space="preserve">Quelle: </w:t>
      </w:r>
      <w:r>
        <w:t>https://mcp.opencaselaw.ch/entscheid/ge_gerichte_ACPR_816_2023</w:t>
      </w:r>
    </w:p>
    <w:p>
      <w:r>
        <w:t>FR: GE_GERICHTE ACPR/816/2023 du 26 septembre 2023</w:t>
      </w:r>
    </w:p>
    <w:p>
      <w:r>
        <w:t>IT: GE_GERICHTE ACPR/816/2023 del 26 settembre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w:t>
      </w:r>
    </w:p>
    <w:p>
      <w:r>
        <w:t>- 7/12 - P/11766/2023 intérêt juridiquement protégé à la modification ou à l'annulation de la décision querellée (art. 382 al. 1 CPP).</w:t>
      </w:r>
    </w:p>
    <w:p>
      <w:r>
        <w:rPr>
          <w:b/>
        </w:rPr>
        <w:t>E. 2</w:t>
      </w:r>
    </w:p>
    <w:p>
      <w:r>
        <w:t>Le recourant invoque une diminution des charges.</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En l'espèce, le recourant admet avoir vendu de la cocaïne et du haschich, mais conteste les quantités retenues par le Ministère public, exposant ne l'avoir fait que pour arrondir ses fins de mois et pour ses amis. Or, quels que soient les liens entretenus par le recourant avec les acheteurs, il ressort des éléments au dossier que le trafic portait, pendant au moins deux ans, sur des quantités atteignant la gravité visée à l'art. 19 al. 2 LStup. Ainsi, E______ a déclaré avoir acheté au prévenu 480 grammes de cocaïne, ce que semblent confirmer les sommes d'argent prélevées sur son compte. À cela s'ajoutent les quantités de cocaïne achetées par le témoin, pour quelque CHF 8'000.-. D'autres personnes, auxquelles le recourant admet avoir vendu des stupéfiants, ont été ou seront entendues par la police, puis par le Ministère public, de sorte que les charges sont susceptibles de s'aggraver. En outre, le recourant, qui bénéficie de prestations de l'Hospice général au même titre que sa compagne, a voyagé avec elle et les enfants de celle-ci à plusieurs reprises à l'étranger, notamment en 2022. En l'état de l'instruction, il existe des soupçons suffisants que ces loisirs ont pu être financés par les revenus engrangés par le trafic de stupéfiants. Partant, sur ce volet, les charges ne se sont pas amoindries. Il en va de même s'agissant de l'usage, par le recourant, d'un couteau pour menacer E______, faits qu'a, en partie, confirmé le témoin entendu par le Ministère public le</w:t>
      </w:r>
    </w:p>
    <w:p>
      <w:r>
        <w:rPr>
          <w:b/>
        </w:rPr>
        <w:t>E. 5</w:t>
      </w:r>
    </w:p>
    <w:p>
      <w:r>
        <w:t>Le recourant se plaint d'une violation du principe de la proportionnalité.</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5.2</w:t>
      </w:r>
    </w:p>
    <w:p>
      <w:r>
        <w:t>En l'espèce, si les soupçons pesant sur le recourant devaient se confirmer, la peine concrètement encourue, au vu de ses antécédents, dépasse – de loin – la détention provisoire ordonnée pour 5 mois. Le recourant semble se plaindre de la lenteur de la procédure, mais l'instruction se déroule, depuis l'arrestation du recourant en juin dernier, à un rythme normal, sans qu'on puisse déceler un retard injustifié au sens de l'art. 5 CPP. Des actes d'instruction sont encore en cours et le Ministère public envisage d'auditionner des acheteurs, ainsi que les proches de la compagne du recourant. Le grief relatif au non-versement des procès-verbaux d'audition au dossier "à brève échéance" excède le cadre d'examen du juge de la détention. Le recourant soutient que la détention provisoire aurait des répercussions négatives sur la formation entreprise auprès de G______, mais il a saisi l'opportunité de suivre des cours en détention. Il ne tient donc qu'à lui de faire le nécessaire pour se préparer aux examens dont il semble avoir obtenu le report.</w:t>
      </w:r>
    </w:p>
    <w:p>
      <w:r>
        <w:rPr>
          <w:b/>
        </w:rPr>
        <w:t>E. 6</w:t>
      </w:r>
    </w:p>
    <w:p>
      <w:r>
        <w:t>Le recours s'avère ainsi infondé et doit être rejeté.</w:t>
      </w:r>
    </w:p>
    <w:p>
      <w:r>
        <w:t>- 10/12 - P/11766/2023</w:t>
      </w:r>
    </w:p>
    <w:p>
      <w:r>
        <w:rPr>
          <w:b/>
        </w:rPr>
        <w:t>E. 7</w:t>
      </w:r>
    </w:p>
    <w:p>
      <w:r>
        <w:t>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malgré l'issue du recours, un premier contrôle des charges par l'autorité de recours pouvait se justifier à ce stade de l'instruction. L'indemnité du défenseur d'office sera fixée à la fin de la procédure (art. 135 al. 2 CPP). * * * * *</w:t>
      </w:r>
    </w:p>
    <w:p>
      <w:r>
        <w:t>- 11/12 - P/11766/2023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