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ACPR/815/2019 vom 24. Mai 2019</w:t>
      </w:r>
    </w:p>
    <w:p>
      <w:r>
        <w:t>GE Cour de justice, 2019-05-24, FR</w:t>
      </w:r>
    </w:p>
    <w:p>
      <w:r>
        <w:rPr>
          <w:b/>
        </w:rPr>
        <w:t xml:space="preserve">Quelle: </w:t>
      </w:r>
      <w:r>
        <w:t>https://mcp.opencaselaw.ch/entscheid/ge_gerichte_ACPR_815_2019</w:t>
      </w:r>
    </w:p>
    <w:p>
      <w:r>
        <w:t>FR: GE_GERICHTE ACPR/815/2019 du 24 mai 2019</w:t>
      </w:r>
    </w:p>
    <w:p>
      <w:r>
        <w:t>IT: GE_GERICHTE ACPR/815/2019 del 24 maggio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Il en va de même des pièces nouvelles produites par les parties (arrêt du Tribunal fédéral 1B_368/2014 du 5 février 2015 consid. 3.1 et 3.2 et 1B_768/2012 du 15 janvier 2013 consid. 2.1).</w:t>
      </w:r>
    </w:p>
    <w:p>
      <w:r>
        <w:rPr>
          <w:b/>
        </w:rPr>
        <w:t>E. 2</w:t>
      </w:r>
    </w:p>
    <w:p>
      <w:r>
        <w:t>La recourante reproche au Ministère public de ne pas être entré en matière sur sa plainte du 5 novembre 2018 et invoque une violation des art. 47 LB et 162 CP.</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w:t>
      </w:r>
    </w:p>
    <w:p>
      <w:r>
        <w:t>- 6/10 - P/21802/2018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DCPR/104/2011 du 11 mai 2011).</w:t>
      </w:r>
    </w:p>
    <w:p>
      <w:r>
        <w:rPr>
          <w:b/>
        </w:rPr>
        <w:t>E. 2.2</w:t>
      </w:r>
    </w:p>
    <w:p>
      <w:r>
        <w:t>Selon l'art. 47 LB, est puni d'une peine privative de liberté de trois ans au plus ou d'une peine pécuniaire celui qui, intentionnellement, révèle un secret à lui confié ou dont il a eu connaissance en sa qualité d'employé d'une banque (al. 1 let. a) ou révèle un secret qui lui a été confié au sens de la let. a ou exploite ce secret à son profit ou au profit d'un tiers (al. 1 let. c). L'infraction commise par négligence est passible d'une amende (al. 2). L'art. 47 LB ne règle pas le secret bancaire en tant que tel, mais la sanction en cas de violation de ce secret (ATF 137 IV 431 consid. 2.1.1. p. 437). Celui qui est soumis au secret bancaire doit garder secrètes à l'égard de l'extérieur toutes les informations qui lui sont confiées par le client ou qui parviennent à sa connaissance dans le cadre de la relation d'affaires (ibid.).</w:t>
      </w:r>
    </w:p>
    <w:p>
      <w:r>
        <w:t>- 7/10 - P/21802/2018</w:t>
      </w:r>
    </w:p>
    <w:p>
      <w:r>
        <w:rPr>
          <w:b/>
        </w:rPr>
        <w:t>E. 2.3</w:t>
      </w:r>
    </w:p>
    <w:p>
      <w:r>
        <w:t>Aux termes de l'art. 162, 1ère hypothèse, CP, celui qui aura révélé un secret de fabrication ou un secret commercial qu'il est tenu de garder en vertu d'une disposition légale ou contractuelle sera, sur plainte, puni d'une peine privative de liberté de trois ans au plus ou d'une peine pécuniaire.</w:t>
      </w:r>
    </w:p>
    <w:p>
      <w:r>
        <w:rPr>
          <w:b/>
        </w:rPr>
        <w:t>E. 2.4</w:t>
      </w:r>
    </w:p>
    <w:p>
      <w:r>
        <w:t>"Révéler" consiste à porter à la connaissance d'autrui, même partiellement, le secret et à agrandir de façon indue le cercle des détenteurs (M. DUPUIS / L. MOREILLON / C. PIGUET / S. BERGER / M. MAZOU / V. RODIGARI (éds), Code pénal - Petit commentaire, 2e éd., Bâle 2017, n. 10 ad art. 162).</w:t>
      </w:r>
    </w:p>
    <w:p>
      <w:r>
        <w:rPr>
          <w:b/>
        </w:rPr>
        <w:t>E. 2.5</w:t>
      </w:r>
    </w:p>
    <w:p>
      <w:r>
        <w:t>En l'espèce, s'agissant des courriels que la mise en cause s'est envoyés sur sa messagerie électronique personnelle ou des documents qu'elle conservait chez son employeur, le raisonnement suivi par la Chambre de céans dans l'arrêt ACPR/335/2019, précité, peut être repris à l'identique, d'autant plus que la recourante ne prétend pas qu'une solution différente s'imposerait. Au demeurant, cet arrêt n'a pas été attaqué. Il est, ainsi, vain de se demander si le lien hypertexte vers un fichier de clientèle – tel que ce lien est visible sur l'impression du message électronique du 8 juillet 2016 à 14h.21, envoyé à l'adresse "3______@______.com" – pouvait être activé depuis un ordinateur extérieur à la banque. Il en va de même des captures d'écran du Registre central, envoyées quelques minutes plus tard à la même adresse. En ce qui les concerne, les messages envoyés sur l'adresse électronique du mari de l'intimée ne portent pas, quoi qu'en disent les intéressés, sur des textes que celle-ci aurait rédigés et qu'elle aurait voulu faire relire par celui-là ou sur des fichiers trop "lourds" pour l'adresse électronique précitée. En effet, les envois des 1er octobre 2015 et 10 février 2016 consistent en le transfert de simples messages déjà envoyés par l'intimée. Cela étant, le premier des deux ne contient, à l'évidence, aucune donnée sensible, et en tout cas pas relative à un client reconnaissable par un tiers extérieur à la banque : ce message se réfère tout au plus à une transaction touchant "C______" (et/ou "4______", faute d'explication de la recourante sur ce que recouvriraient ces désignations ou abréviations) et dont on ignore la cause exacte ("du matériel en Asie"), le montant et l'autre partie (même si l'on devine qu'il s'agit d'un fournisseur). Le message du 10 février 2016, comporte, certes, le nom d'un garage, mais l'intimée se borne à y manifester, à l'attention de ses supérieurs et collègues, son opposition à de futures entrées de fonds en liquide sur le compte de ce client. C'est un échange de vues interne à la banque. On ne voit pas quelle donnée communiquée par le client serait ainsi divulguée. Sans doute l'existence de la relation d'affaires elle-même relève-t-elle de la sphère privée (ATF précité, consid. 2.1.2. p. 437), mais l'on ne voit pas en quoi cette seule information serait secrète, au sens de l'art. 47 LB, dans le cas d'une entreprise commerciale ni que celle-ci – et non la recourante – puisse</w:t>
      </w:r>
    </w:p>
    <w:p>
      <w:r>
        <w:t>- 8/10 - P/21802/2018 démontrer un intérêt justifié à la garder secrète. Il est bien plus probable que le garage divulgue lui-même le nom de sa banque pour ses besoins propres (facturation à la clientèle, p. ex.). Au surplus, il apparaît qu'aucun des messages parvenus aux deux adresses électroniques extérieures à la banque n'a fait l'objet d'un transfert ultérieur. Faute de "secret" au sens des dispositions légales invoquées, il n'y avait pas à entrer en matière sur la plainte, et on ne voit pas comment l'ouverture d'une instruction pourrait infirmer ce qui précède.</w:t>
      </w:r>
    </w:p>
    <w:p>
      <w:r>
        <w:rPr>
          <w:b/>
        </w:rPr>
        <w:t>E. 3</w:t>
      </w:r>
    </w:p>
    <w:p>
      <w:r>
        <w:t>Justifiée, l'ordonnance querellée sera donc confirmée.</w:t>
      </w:r>
    </w:p>
    <w:p>
      <w:r>
        <w:rPr>
          <w:b/>
        </w:rPr>
        <w:t>E. 4</w:t>
      </w:r>
    </w:p>
    <w:p>
      <w:r>
        <w:t>La recourante, qui succombe, supportera les frais envers l'État, qui seront fixés en totalités à CHF 1'000.- (art. 428 al. 1 CPP et 13 al. 1 du Règlement fixant le tarif des frais en matière pénale, RTFMP ; E 4 10.03), y compris un émolument de décision. * * * * *</w:t>
      </w:r>
    </w:p>
    <w:p>
      <w:r>
        <w:t>- 9/10 - P/21802/2018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