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ACPR/812/2025 vom 2. Mai 2025</w:t>
      </w:r>
    </w:p>
    <w:p>
      <w:r>
        <w:t>GE Cour de justice, 2025-05-02, FR</w:t>
      </w:r>
    </w:p>
    <w:p>
      <w:r>
        <w:rPr>
          <w:b/>
        </w:rPr>
        <w:t xml:space="preserve">Quelle: </w:t>
      </w:r>
      <w:r>
        <w:t>https://mcp.opencaselaw.ch/entscheid/ge_gerichte_ACPR_812_2025</w:t>
      </w:r>
    </w:p>
    <w:p>
      <w:r>
        <w:t>FR: GE_GERICHTE ACPR/812/2025 du 2 mai 2025</w:t>
      </w:r>
    </w:p>
    <w:p>
      <w:r>
        <w:t>IT: GE_GERICHTE ACPR/812/2025 del 2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plaignantes qui, parties à la procédure (art. 104 al. 1 let. b CPP), ont qualité pour agir, ayant un intérêt</w:t>
      </w:r>
    </w:p>
    <w:p>
      <w:r>
        <w:t>- 6/10 - P/27674/2024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recourantes reprochent au Ministère public de ne pas être entré en matière sur les faits visés dans leur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 Une non-entrée en matière s'impose lorsque le litige est de nature purement civile (ATF 137 IV 285 consid. 2.3).</w:t>
      </w:r>
    </w:p>
    <w:p>
      <w:r>
        <w:t>- 7/10 - P/27674/2024 3.2.1. Le faux dans les titres (art. 251 CP) punit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1ère phrase CP). 3.2.2. L'infraction d'escroquerie (art. 146 CP) réprime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L'escroquerie ne sera consommée que s'il y a un dommage (arrêt du Tribunal fédéral 6B_1141/2017 du 7 juin 2018 consid. 1.2.1). 3.2.3. Il y a tentative (art. 22 CP) lorsque l'auteur a réalisé tous les éléments subjectifs de l'infraction et manifesté sa décision de la commettre, alors que les éléments objectifs font, en tout ou en partie, défaut (ATF 140 IV 150 consid. 3.4).</w:t>
      </w:r>
    </w:p>
    <w:p>
      <w:r>
        <w:rPr>
          <w:b/>
        </w:rPr>
        <w:t>E. 3.3</w:t>
      </w:r>
    </w:p>
    <w:p>
      <w:r>
        <w:t>En l'espèce, il est établi que B______ a autorisé C______ à effectuer des visites du bien immobilier qu'elle souhaitait vendre, tout en convenant avec lui que, dans l'hypothèse où il trouverait un acheteur, il devrait faire payer sa commission à ce dernier, sans que le montant de celle-ci n'apparaisse avoir été prédéterminé. Dans ce cadre, il est également constant que c'est par l'intermédiaire de C______ que A______ a visité le bien immobilier de B______ et effectué une offre d'achat de celui- ci. Les recourantes font, en substance, grief au Ministère public de ne pas avoir considéré que l'offre d'achat soumise à la venderesse constituait un faux dans les titres, dès lors</w:t>
      </w:r>
    </w:p>
    <w:p>
      <w:r>
        <w:t>- 8/10 - P/27674/2024 que le prix qui y était mentionné était de CHF 1'020'000.- et ne correspondait pas à celui que l'acheteuse offrait de payer au maximum, soit CHF 1'060'000.-. Or, il est acquis que cette différence de prix s'explique par le fait que C______ prévoyait de déduire de l’offre de l'acheteuse, une commission pour ses services de CHF 40'000.-, conformément à ce qu'il avait compris de ses discussions à ce sujet avec la venderesse. À cet égard, les recourantes concèdent elles-mêmes avoir eu conscience que les services de C______ n'étaient pas effectués à bien plaire. Dans ces circonstances, le fait que le prix de vente mentionné sur l'offre d'achat soumise à B______ eût pu être plus conséquent, si la commission projetée par l'agent immobilier sur le budget global de l'acheteuse avait été moindre, ne permet pas encore de considérer que cet élément était mensonger. De même, en tant qu'elle s'explique par la commission projetée par l'agent immobilier, la différence de prix litigieuse ne traduit pas de "stratagème savamment pensé", ni n'apparaît constituer, en soi, une tromperie astucieuse. Par ailleurs, on ne peut inférer un dessein d'enrichissement illégitime ou une intention dolosive de la part de C______. Les éléments constitutifs des infractions aux art. 251 CP ou art. 146 CP, pas plus qu’aux art. 22 cum 146 CP, ne sont ainsi réalisés. En définitive, le fait de savoir si une commission était véritablement due et, le cas échéant, par qui, pour quel montant et sous quelle forme, sont des problématiques de nature essentiellement civile. Pour le reste, les plaignantes n'arguent plus de la réalisation d'une infraction de gestion déloyale (158 CP) dans leur recours. En tout état de cause, faute d'une position de garant du mis en cause, une telle infraction n'entrerait pas non plus en ligne de compte. Partant, dans la mesure où aucun élément constitutif d'une infraction n'apparaît réalisé et où le litige est de nature essentiellement civile, c'est à bon droit que le Ministère public a refusé d'entrer en matière sur la plainte des recourantes.</w:t>
      </w:r>
    </w:p>
    <w:p>
      <w:r>
        <w:rPr>
          <w:b/>
        </w:rPr>
        <w:t>E. 4</w:t>
      </w:r>
    </w:p>
    <w:p>
      <w:r>
        <w:t>Justifiée, l'ordonnance querellée sera donc confirmée.</w:t>
      </w:r>
    </w:p>
    <w:p>
      <w:r>
        <w:rPr>
          <w:b/>
        </w:rPr>
        <w:t>E. 5</w:t>
      </w:r>
    </w:p>
    <w:p>
      <w:r>
        <w:t>Les recourantes, qui succombent, supporteront ‒ conjointement et solidairement ‒ les frais envers l'État, arrêtés à CHF 1'500.- (art. 428 al. 1 CPP et 13 al. 1 du Règlement fixant le tarif des frais en matière pénale, RTFMP; E 4 10.03).</w:t>
      </w:r>
    </w:p>
    <w:p>
      <w:r>
        <w:rPr>
          <w:b/>
        </w:rPr>
        <w:t>E. 6</w:t>
      </w:r>
    </w:p>
    <w:p>
      <w:r>
        <w:t>Corrélativement, il n'y a pas lieu de leur octroyer une indemnité pour leurs frais d'avocat (art. 433 al. 1 CPP a contrario). * * * * *</w:t>
      </w:r>
    </w:p>
    <w:p>
      <w:r>
        <w:t>- 9/10 - P/27674/2024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