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ACPR/808/2022 vom 19. September 2022</w:t>
      </w:r>
    </w:p>
    <w:p>
      <w:r>
        <w:t>GE Cour de justice, 2022-09-19, FR</w:t>
      </w:r>
    </w:p>
    <w:p>
      <w:r>
        <w:rPr>
          <w:b/>
        </w:rPr>
        <w:t xml:space="preserve">Quelle: </w:t>
      </w:r>
      <w:r>
        <w:t>https://mcp.opencaselaw.ch/entscheid/ge_gerichte_ACPR_808_2022</w:t>
      </w:r>
    </w:p>
    <w:p>
      <w:r>
        <w:t>FR: GE_GERICHTE ACPR/808/2022 du 19 septembre 2022</w:t>
      </w:r>
    </w:p>
    <w:p>
      <w:r>
        <w:t>IT: GE_GERICHTE ACPR/808/2022 del 19 settembre 2022</w:t>
      </w:r>
    </w:p>
    <w:p>
      <w:pPr>
        <w:pStyle w:val="Heading2"/>
      </w:pPr>
      <w:r>
        <w:t>Erwägungen</w:t>
      </w:r>
    </w:p>
    <w:p>
      <w:r>
        <w:rPr>
          <w:b/>
        </w:rPr>
        <w:t>E. 1</w:t>
      </w:r>
    </w:p>
    <w:p>
      <w:r>
        <w:t>Le recours est recevable pour avoir été déposé selon la forme et dans le délai prescrits (art. 385 al. 1, 396 al. 1 CPP) – les formalités de notification (art. 85 al. 2 CPP) n'ayant pas été observées –,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w:t>
      </w:r>
    </w:p>
    <w:p>
      <w:r>
        <w:t>- 7/12 - P/23557/2021 al. 2 et 5 a contrario CPP). Tel est le cas en l'occurrence, au vu des considérations qui suivent.</w:t>
      </w:r>
    </w:p>
    <w:p>
      <w:r>
        <w:rPr>
          <w:b/>
        </w:rPr>
        <w:t>E. 3.1</w:t>
      </w:r>
    </w:p>
    <w:p>
      <w:r>
        <w:t>Selon l'art. 310 al. 1 let. a CPP, le Ministère public rend immédiatement une ordonnance de non-entrée en matière, lorsqu'il ressort de la plainte que les éléments constitutifs d'une infraction ne sont pas réalisés. Cette disposition s'interprète à la lumière de la maxime "in dubio pro duriore", selon laquelle une non-entrée en matière ne peut généralement être prononcée que s'il apparaît clairement que les faits ne sont pas punissables. Le ministère public et la juridiction de recours disposent, dans ce cadre, d'un pouvoir d'appréciation (ATF 143 IV 241 consid. 2.2.1; arrêt du Tribunal fédéral 6B_138/2021 du 23 septembre 2021 consid. 4.1.1).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 et les références citées).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(arrêts du Tribunal fédéral 6B_174/2019 du 21 février 2019 consid. 2.2 et les références citées).</w:t>
      </w:r>
    </w:p>
    <w:p>
      <w:r>
        <w:rPr>
          <w:b/>
        </w:rPr>
        <w:t>E. 3.2</w:t>
      </w:r>
    </w:p>
    <w:p>
      <w:r>
        <w:t>L'art. 312 CP réprime les membres d'une autorité et les fonctionnaires qui, dans le dessein de se procurer ou de procurer à un tiers un avantage illicite, ou dans le dessein de nuire à autrui, auront abusé des pouvoirs de leur charge. Cette disposition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et les arrêts cités; arrêt du Tribunal fédéral 6B_1351/2017 du 18 avril 2018 consid. 4.2). Du point de vue subjectif, l'infraction suppose un comportement intentionnel, au moins sous la forme du dol éventuel, ainsi qu'un dessein spécial, qui peut se présenter sous deux formes alternatives, soit le dessein de se procurer ou de procurer à un tiers un avantage illicite ou le dessein de nuire à autrui (arrêt du Tribunal fédéral 6B_699/2011 du 26 janvier 2012 consid. 1.1). Il faut admettre que l'auteur nuit à</w:t>
      </w:r>
    </w:p>
    <w:p>
      <w:r>
        <w:t>- 8/12 - P/23557/2021 autrui dès qu'il utilise des moyens excessifs, même s'il poursuit un but légitime. Le motif pour lequel l'auteur agit est ainsi sans pertinence sur l'intention, mais a trait à l'examen de la culpabilité (arrêts du Tribunal fédéral 6B_579/2015 du 7 septembre 2015 consid. 2.2.1 et 6B_699/2011 du 26 janvier 2012 consid. 1.3.3). La jurisprudence retient un dessein de nuire dès que l'auteur cause par dol ou dol éventuel un préjudice non négligeable (arrêts du Tribunal fédéral 6B_987/2015 du 7 mars 2016 consid. 2.6; 6B_831/2011 du 14 février 2012 consid. 1.4.2; 6S.885/2000 du 26 février 2002 consid. 4a/bb ; ATF 99 IV 13).</w:t>
      </w:r>
    </w:p>
    <w:p>
      <w:r>
        <w:rPr>
          <w:b/>
        </w:rPr>
        <w:t>E. 3.3</w:t>
      </w:r>
    </w:p>
    <w:p>
      <w:r>
        <w:t>Aux termes de l'art. 14 CP, quiconque agit comme la loi l'ordonne ou l'autorise se comporte de manière licite, même si l'acte est punissable en vertu du présent code ou d'une autre loi. Selon l'art. 241 al. 4 CPP, la police peut fouiller une personne appréhendée, notamment pour assurer la sécurité de personnes – ce qui comprend la personne appréhendée elle-même et les policiers présents (Y. JEANNERET / A. KUHN / C. PERRIER DEPEURSINGE (éds), Commentaire romand : Code de procédure pénale suisse, 2e éd., Bâle 2019, n. 38 ad art. 241) –. Il s'agira par exemple de vérifier que la personne soumise à la fouille ne serait pas porteuse d'une arme (ibid.) ou d'objets susceptibles d'être séquestrés pour servir de moyens de preuve (op. cit., n. 39 ad art. 241). La fouille corporelle peut porter sur les orifices et cavités du corps humain qui, tels l'anus ou le vagin, sont visibles et peuvent être examinés sans l'aide d'un instrument (op. cit. n. 12 ad art. 241).</w:t>
      </w:r>
    </w:p>
    <w:p>
      <w:r>
        <w:rPr>
          <w:b/>
        </w:rPr>
        <w:t>E. 3.4</w:t>
      </w:r>
    </w:p>
    <w:p>
      <w:r>
        <w:t>En l'espèce, le recourant estime qu'il subsiste un doute sur la manière dont se serait déroulée la fouille dont il a été l'objet au poste de police, ce qui commanderait au Ministère public d'ouvrir une instruction. Il ne peut être suivi. En effet, les actes dénoncés par ce dernier ont fait l'objet d'une enquête effective et approfondie par l'IGS, à l'occasion de laquelle les policiers potentiellement impliqués ont été entendus, tout comme le plaignant, lequel a ainsi eu toute possibilité de préciser ses doléances. À l'issue de ladite enquête, l'IGS est parvenue à la conclusion que la fouille du recourant avait été effectuée conformément à la directive policière en vigueur et avait respecté le principe de la proportionnalité. À juste titre. Le fait que le recourant ait été interpellé pour rupture de ban, ne permettait pas d'exclure qu'il fût muni d'un objet dangereux, ou susceptible d'être utilisé comme tel, dans l'hypothèse où il se ferait interpeller, ce d'autant qu'il était tout à fait conscient de sa situation administrative. La première palpation était dès lors entièrement justifiée, ce qui n'est pas contesté. Une fois arrivés au poste, l'on ne saurait reprocher aux policiers de s'être assurés, par une seconde palpation, le cas échéant plus</w:t>
      </w:r>
    </w:p>
    <w:p>
      <w:r>
        <w:t>- 9/12 - P/23557/2021 complète, que le recourant ne dissimulait pas d'objets ayant pu échapper à leur attention lors de la première fouille, avec lesquels il aurait pu menacer sa propre sécurité ou celles de tiers, lors de son placement en cellule, étant rappelé que ce type de fouille est expressément prévu par l'art. 250 al. 1 CPP, en particulier pour des motifs de sécurité (art. 241 al. 4 CPP). L'adéquation de la fouille corporelle de sécurité doit ainsi être admise. Pour le surplus, hormis les déclarations du recourant, le dossier ne recèle aucun indice concret laissant penser que la fouille corporelle serait intervenue de manière contraire au droit, sans respect des modalités destinées à éviter au prévenu toute souffrance ou humiliation inutiles. Les actes d'instruction proposés ne sont pas propres à modifier ce raisonnement. En effet, une confrontation entre les protagonistes, ne parait pas susceptible d'apporter d'élément probant supplémentaire car chacun persisterait vraisemblablement dans sa propre version. Il en va de même de l'audition des "proches", qui auraient recueilli les confidences du recourant, dès lors qu'il ne s'agit pas de témoins directs des faits, et que le recourant n'établit pas en quoi ces auditions seraient pertinentes pour les établir. Enfin, l'on ne distingue pas en quoi les modalités de communication de la directive policière entrée en vigueur le 19 novembre 2021, soit plus d'un mois après les faits, seraient susceptibles d'apporter des éléments nouveaux déterminants, ce d'autant plus que la directive en vigueur au moment des faits prévoyait déjà que l'usage de la contrainte devait respecter le principe de la proportionnalité, et ce conformément à la loi et à la jurisprudence en la matière. Faute d'indice de la commission d'une infraction pénale, l'ordonnance querellée ne souffre aucune critique.</w:t>
      </w:r>
    </w:p>
    <w:p>
      <w:r>
        <w:rPr>
          <w:b/>
        </w:rPr>
        <w:t>E. 4</w:t>
      </w:r>
    </w:p>
    <w:p>
      <w:r>
        <w:t>Justifiée, l'ordonnance querellée sera donc confirmée.</w:t>
      </w:r>
    </w:p>
    <w:p>
      <w:r>
        <w:rPr>
          <w:b/>
        </w:rPr>
        <w:t>E. 5</w:t>
      </w:r>
    </w:p>
    <w:p>
      <w:r>
        <w:t>Le recourant soutient qu'il disposerait d'un droit à l'assistance judiciaire fondé sur le droit conventionnel. Il invoque dans ce cadre l'interdiction de traitements inhumains ou dégradants.</w:t>
      </w:r>
    </w:p>
    <w:p>
      <w:r>
        <w:rPr>
          <w:b/>
        </w:rPr>
        <w:t>E. 5.1</w:t>
      </w:r>
    </w:p>
    <w:p>
      <w:r>
        <w:t>Lorsque l'action civile n'est pas possible, la jurisprudence reconnaît dans certains cas à la partie plaignante le droit d'obtenir l'assistance judiciaire sur la base de l'art. 29 al. 3 Cst., lorsque les actes dénoncés sont susceptibles de tomber sous le coup des dispositions prohibant les actes de torture et autres peines ou traitements cruels ou dégradants (cf. art. 3 CEDH, 10 al. 3 Cst. et Convention des Nations Unies du 10 décembre 1984 contre la torture et autres peines ou traitements cruels, inhumains ou dégradants [RS 0.105]; cf. ATF 138 IV 86 consid. 3.1.1 p. 88 s.; cf. arrêt 1B_561/2019 du 12 février 2020 et les arrêts cités).</w:t>
      </w:r>
    </w:p>
    <w:p>
      <w:r>
        <w:t>- 10/12 - P/23557/2021 Pour que tel soit le cas, le traitement dénoncé doit en principe être intentionnel et atteindre un minimum de gravité. L'appréciation de ce minimum dépend de l'ensemble des circonstances de la cause, notamment la durée du traitement et de ses effets physiques ou mentaux, le sexe, l'âge et l'état de santé de la victime (ATF 139 I 272 consid. 4 p. 278). Un traitement doit être qualifié de dégradant s'il est de nature à créer des sentiments de peur, d'angoisse et d'infériorité propres à humilier ou à avilir la victime, de façon à briser sa résistance physique ou morale ou à la conduire à agir contre sa volonté ou sa conscience (arrêts du Tribunal fédéral 1B_771/2012 du 20 août 2013 consid. 1.2.2 publié in PJA 2013 1688; 1B_729/2012 du 28 mai 2013 consid. 2.1 et les arrêts cités).</w:t>
      </w:r>
    </w:p>
    <w:p>
      <w:r>
        <w:rPr>
          <w:b/>
        </w:rPr>
        <w:t>E. 5.2</w:t>
      </w:r>
    </w:p>
    <w:p>
      <w:r>
        <w:t>Sur ce point, bien que le recourant expose, en préambule, que son recours porterait sur le refus de l'octroi de l'assistance juridique, ses conclusions et développements ne concernent que la procédure de recours, de sorte que seul cet aspect sera examiné (art. 385 CPP). Tout d'abord, bien qu'elle n'ait pas été documentée, l'indigence du recourant apparait plausible au vu de sa situation. Cela étant, on peut admettre que les faits invoqués à l'appui de sa plainte auraient pu constituer un traitement dégradant. Par ailleurs, au vu de l'ensemble des faits allégués, les mauvais traitements invoqués, s'ils étaient avérés, seraient d'une certaine gravité. Par conséquent, nonobstant l'absence de chance de succès de l'action civile, il se justifie de mettre le recourant au bénéfice de l'assistance judiciaire pour la procédure de recours et de lui désigner un avocat d'office. Conformément à ses souhaits, son avocate, Me B______, sera nommée d'office pour la procédure de recours.</w:t>
      </w:r>
    </w:p>
    <w:p>
      <w:r>
        <w:rPr>
          <w:b/>
        </w:rPr>
        <w:t>E. 5.3</w:t>
      </w:r>
    </w:p>
    <w:p>
      <w:r>
        <w:t>Le recourant a chiffré à CHF 1'000.- l'indemnité pour les honoraires de son avocate. Au vu de l'ampleur et de la difficulté moyennes du dossier, il se justifie de limiter l'indemnité qui lui sera allouée à 3 heures d'activité au taux de CHF 200.- l'heure (art. 16 al. 1 RAJ – E 2 05.04), plus TVA, soit un total de CHF 646.20.</w:t>
      </w:r>
    </w:p>
    <w:p>
      <w:r>
        <w:rPr>
          <w:b/>
        </w:rPr>
        <w:t>E. 6</w:t>
      </w:r>
    </w:p>
    <w:p>
      <w:r>
        <w:t>Le recourant, partie plaignante qui n'obtient pas gain de cause, supportera les frais de la procédure de recours, bien qu'au bénéfice de l'assistance juridique (art. 428 al. 1 CPP; arrêts du Tribunal fédéral 1B_372/2014 du 8 avril 2015 consid. 4.6. et 1B_203/2011 du 18 mai 2011 consid. 4.). Ces frais seront fixés en totalité à CHF 900.- (art. 13 al. 1 du Règlement fixant le tarif des frais en matière pénale, RTFMP; E 4 10.03).</w:t>
      </w:r>
    </w:p>
    <w:p>
      <w:r>
        <w:rPr>
          <w:b/>
        </w:rPr>
        <w:t>E. 7</w:t>
      </w:r>
    </w:p>
    <w:p>
      <w:r>
        <w:t>- 11/12 - P/23557/2021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