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ACPR/808/2019 vom 23. Oktober 2018</w:t>
      </w:r>
    </w:p>
    <w:p>
      <w:r>
        <w:t>GE Cour de justice, 2018-10-23, FR</w:t>
      </w:r>
    </w:p>
    <w:p>
      <w:r>
        <w:rPr>
          <w:b/>
        </w:rPr>
        <w:t xml:space="preserve">Quelle: </w:t>
      </w:r>
      <w:r>
        <w:t>https://mcp.opencaselaw.ch/entscheid/ge_gerichte_ACPR_808_2019</w:t>
      </w:r>
    </w:p>
    <w:p>
      <w:r>
        <w:t>FR: GE_GERICHTE ACPR/808/2019 du 23 octobre 2018</w:t>
      </w:r>
    </w:p>
    <w:p>
      <w:r>
        <w:t>IT: GE_GERICHTE ACPR/808/2019 del 23 ottobre 2018</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en tant qu’elle conteste le refus du Ministère public de lui accorder une indemnité pour ses frais de déplacement.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lui avoir octroyé une indemnité pour ses frais de déplacement.</w:t>
      </w:r>
    </w:p>
    <w:p>
      <w:r>
        <w:rPr>
          <w:b/>
        </w:rPr>
        <w:t>E. 3.1</w:t>
      </w:r>
    </w:p>
    <w:p>
      <w:r>
        <w:t>À teneur de l'art. 429 al. 1 let. b CPP, si le prévenu bénéfice d'une ordonnance de classement, il a droit à une indemnité pour le dommage économique subi au titre de sa participation obligatoire à la procédure pénale.</w:t>
      </w:r>
    </w:p>
    <w:p>
      <w:r>
        <w:t>- 4/7 - P/15023/2016 L'autorité pénale examine d'office les prétentions du prévenu. Elle peut enjoindre à celui-ci de les chiffrer et de les justifier (art. 429 al. 2 CPP). Ce dommage correspond essentiellement aux pertes de salaires et gains liées à l'impossibilité de réaliser une activité lucrative en raison du temps consacré à la participation aux audiences ou d'une mise en détention avant jugement. Il concerne également l'éventuelle atteinte à l'avenir économique consécutif à la procédure, de même que les autres frais liés à la procédure, comme les frais de déplacement ou de logement (arrêt du Tribunal fédéral 6B_928/2014 du 10 mars 2016 consid. 4.1.1 et les références citées destiné à la publication). L'évaluation du dommage économique se fait en application des règles générales en matière de responsabilité civile (art. 41 ss CO ; arrêt 6B_928/2014 précité consid. 4.1.2 et les références citées).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(arrêts du Tribunal fédéral 6B_1061/2014 du 18 avril 2016 consid. 1.3.1 destiné à la publication ; 6B_928/2014 précité consid. 4.1.2 et les références citées). Il appartient au lésé de prouver non seulement l'existence et l'étendue du dommage, mais aussi le lien de causalité entre celui-ci et l'événement à la base de son action (arrêt du Tribunal fédéral 6B_1026/2013 du 10 juin 2014 consid. 3.1.).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(arrêts du Tribunal fédéral 6B_909/2015 du 22 juin 2016 consid. 1.1 ; 6B_1061/2014 précité consid. 1.3.1 ; 6B_928/2014 précité consid. 4.1.2 et les références citées).</w:t>
      </w:r>
    </w:p>
    <w:p>
      <w:r>
        <w:rPr>
          <w:b/>
        </w:rPr>
        <w:t>E. 3.2</w:t>
      </w:r>
    </w:p>
    <w:p>
      <w:r>
        <w:t>En l'occurrence, la recourante explique avoir dû se déplacer, à deux reprises, entre son domicile, sis à E______ [VD], et Genève, les 18 juillet 2016, au poste de</w:t>
      </w:r>
    </w:p>
    <w:p>
      <w:r>
        <w:t>- 5/7 - P/15023/2016 police de D______ [GE], et 12 octobre 2017, au Ministère public, pour y être entendue en qualité de prévenue. Cependant, elle n'a pas fourni le moindre élément concret attestant de ses dires - pas même un calculateur d'itinéraires - tant devant le Ministère public que devant l'autorité de recours, alors même que le premier l'avait priée, dans son avis de prochaine clôture du 1er février 2018, à chiffrer et justifier ses conclusions en indemnisation. Force est ainsi de constater que le simple fait que l'intéressée ait allégué avoir dû se déplacer à Genève, à deux reprises, en véhicule privé, pour y être entendue comme prévenue, n'est manifestement pas suffisant pour établir le lien de causalité tel que requis par la jurisprudence sus-énoncée, d'autant plus que la recourante aurait très bien pu se rendre à Genève pour un autre motif également ou déjà s'y trouver le jour des audiences en question. Il en résulte que la recourante n'est pas parvenue à démontrer ou même à rendre hautement vraisemblable qu’elle aurait subi un préjudice économique du fait de sa participation à l’instruction de la présente cause, alors qu'elle avait la charge du fardeau de la preuve, de sorte que le grief soulevé sera rejeté.</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Pour le même motif, elle ne saurait se voir allouer d'indemnité au sens de l'art. 436 CPP.</w:t>
      </w:r>
    </w:p>
    <w:p>
      <w:r>
        <w:t>* * * * *</w:t>
      </w:r>
    </w:p>
    <w:p>
      <w:r>
        <w:t>- 6/7 - P/15023/2016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