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ACPR/807/2021 vom 7. Juli 2021</w:t>
      </w:r>
    </w:p>
    <w:p>
      <w:r>
        <w:t>GE Cour de justice, 2021-07-07, FR</w:t>
      </w:r>
    </w:p>
    <w:p>
      <w:r>
        <w:rPr>
          <w:b/>
        </w:rPr>
        <w:t xml:space="preserve">Quelle: </w:t>
      </w:r>
      <w:r>
        <w:t>https://mcp.opencaselaw.ch/entscheid/ge_gerichte_ACPR_807_2021</w:t>
      </w:r>
    </w:p>
    <w:p>
      <w:r>
        <w:t>FR: GE_GERICHTE ACPR/807/2021 du 7 juillet 2021</w:t>
      </w:r>
    </w:p>
    <w:p>
      <w:r>
        <w:t>IT: GE_GERICHTE ACPR/807/2021 del 7 luglio 2021</w:t>
      </w:r>
    </w:p>
    <w:p>
      <w:pPr>
        <w:pStyle w:val="Heading2"/>
      </w:pPr>
      <w:r>
        <w:t>Erwägungen</w:t>
      </w:r>
    </w:p>
    <w:p>
      <w:r>
        <w:rPr>
          <w:b/>
        </w:rPr>
        <w:t>E. 1.1</w:t>
      </w:r>
    </w:p>
    <w:p>
      <w:r>
        <w:t>Le recours est recevable pour avoir été déposé selon la forme et dans le délai prescrits (art. 90 al. 2,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La pièce nouvellement produite par le recourant devant la Chambre de céans est recevable (arrêt du Tribunal fédéral 1B_368/2014 du 5 février 2015 consid. 3.2 in fine).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violé les art. 356 al. 7 et 392 CPP, en refusant d'annuler l'ordonnance pénale rendue contre lui.</w:t>
      </w:r>
    </w:p>
    <w:p>
      <w:r>
        <w:rPr>
          <w:b/>
        </w:rPr>
        <w:t>E. 3.1</w:t>
      </w:r>
    </w:p>
    <w:p>
      <w:r>
        <w:t>À teneur de l'art. 392 al. 1 CPP, lorsque, dans une même procédure, un recours a été interjeté par certains des prévenus ou des condamnés seulement et qu'il a été admis, la décision attaquée est annulée ou modifiée également en faveur de ceux qui n'ont pas interjeté recours aux conditions suivantes : l'autorité de recours juge</w:t>
      </w:r>
    </w:p>
    <w:p>
      <w:r>
        <w:t>- 6/10 - P/8092/2019 différemment les faits (let. a) et les considérants valent aussi pour les autres personnes impliquées (let. b). Avant de rendre sa décision, l'autorité de recours entend s'il y a lieu les prévenus ou les condamnés qui n'ont pas interjeté recours, le ministère public et la partie plaignante (al. 2). Selon l'art. 356 al. 7 CPP, si des ordonnances pénales portant sur les mêmes faits ont été rendues contre plusieurs personnes, l'art. 392 CPP est applicable par analogie. Nonobstant son titre marginal ("Procédure devant le tribunal de première instance"), l'art. 356 al. 7 CPP vaut également devant le ministère public lorsque ce dernier décide, sur la base de l’art. 355 al. 3 let. b CPP, de classer la procédure à l’encontre du ou des prévenus ayant formé opposition à l’ordonnance pénale. Il doit alors examiner si, par une application analogique des art. 356 al. 7 et 392 CPP, ce classement peut également profiter aux prévenus qui ont renoncé à former opposition (ACPR/372/2020 précité consid. 3.3 et 3.4 et les références citées).</w:t>
      </w:r>
    </w:p>
    <w:p>
      <w:r>
        <w:rPr>
          <w:b/>
        </w:rPr>
        <w:t>E. 3.2</w:t>
      </w:r>
    </w:p>
    <w:p>
      <w:r>
        <w:t>Le but poursuivi par l'art. 392 CPP, dont l'application est obligatoire, est d'éviter des demandes de révision ultérieures. Ainsi, la révision, en tant que moyen de droit subsidiaire, cède le pas à l'application de l'art. 392 CPP, de sorte que certains auteurs l'appellent une "révision sui generis" (arrêt du Tribunal fédéral 6B_786/2019 du</w:t>
      </w:r>
    </w:p>
    <w:p>
      <w:r>
        <w:rPr>
          <w:b/>
        </w:rPr>
        <w:t>E. 3.3</w:t>
      </w:r>
    </w:p>
    <w:p>
      <w:r>
        <w:t>L'autorité de recours (voire le tribunal de première instance ou le ministère public) juge différemment les faits au sens de l'art. 392 al. 1 let. a CPP lorsqu'elle apprécie un élément de fait essentiel autrement que ne l'avait fait le premier juge, par exemple en retenant que la chose mobilière, objet du vol, n'appartenait pas à autrui (M. NIGGLI / M. HEER / H. WIPRÄCHTIGER (éds), op. cit., 2e éd., Bâle 2014, n. 1 ad art. 392) ou que les éléments au dossier n'étaient pas suffisants pour éliminer tout doute quant à la participation de l'auteur à l'infraction (arrêt du Tribunal fédéral 6B_800/2013 du 12 juin 2014 consid. 5.2). Il en va de même lorsque l'autorité apprécie différemment une condition à l'ouverture de l'action pénale ou un empêchement de procéder, par exemple lorsqu'elle constate que la plainte pénale n'était pas valable ou que l'infraction était déjà prescrite (N. SCHMID / D. JOSITSCH, Schweizerische Strafprozessordnung, Praxiskommentar, 3e éd., Zurich/Saint-Gall 2018, n. 4 ad art. 392 ; N. SCHMID / D. JOSITSCH, Handbuch des schweizerischen Strafprozessrechts, 3e éd., Zurich/Saint-Gall 2017, n. 1497</w:t>
      </w:r>
    </w:p>
    <w:p>
      <w:r>
        <w:t>- 7/10 - P/8092/2019 nbp 155 ; M. DAPHINOFF, Das Strafbefehlsverfahren in der Schweizerischen Strafprozessordnung, thèse Fribourg, Zurich 2012, p. 727).</w:t>
      </w:r>
    </w:p>
    <w:p>
      <w:r>
        <w:rPr>
          <w:b/>
        </w:rPr>
        <w:t>E. 3.4</w:t>
      </w:r>
    </w:p>
    <w:p>
      <w:r>
        <w:t>Le cas d'espèce est particulier, en ce sens que l'évènement invoqué, soit la régularisation de la situation administrative de B______ ensuite des corrections effectuées à son initiative dans le registre SYMIC, est nouveau, puisque postérieur à l'ordonnance pénale du 30 juillet 2019, tout en apportant un éclairage sur la situation préexistante, le permis C de l'employé n'ayant jamais été annulé pendant la période en question. Si cette situation avait été corrigée avant le prononcé de l'ordonnance pénale du recourant, celui-ci n'aurait pas été condamné pour infraction à l'art. 117 al. 1 et 3 LEI, le travailleur disposant des autorisations nécessaires. Toutefois, force est de constater que la situation a effectivement évolué entre le 30 juillet 2019 et le 20 août 2020. Au moment où l'ordonnance pénale condamnant le recourant a été prononcée, le Ministère public a constaté que l'autorisation de séjour et d'exercer une activité lucrative de B______ avait été annulée. Or, tel n'était plus le cas le 20 août 2020, puisque son départ définitif de Suisse a finalement été radié du registre fédéral SYMIC, sans qu'il ne soit question d'une erreur administrative. L'autorité pénale a dès lors rendu ses deux décisions sur la base d'états de faits distincts. Cette constatation subsiste, même si la correction porte sur une période antérieure à la première ordonnance. Le Ministère public n'a dès lors pas jugé différemment les faits. La comparaison avec les exemples doctrinaux permet de parvenir à la même conclusion. Ainsi, lorsque l'autorité juge subséquemment qu'une chose n'appartient pas à autrui, elle procède à une appréciation différente d'une situation préexistante. La propriété de la chose n'est pas nouvelle, elle a simplement été revue différemment. Il en va de même pour le cas d'une plainte qui s'avère finalement viciée. La plainte – et son vice – étaient préexistants, ce n'est que l'appréciation du juge d'un même état de fait qui varie. En l'espèce, la régularisation de la situation administrative de B______ n'était pas établie au 30 juillet 2019, date du prononcé litigieux, et l'on ne voit pas comment le Ministère public, sur la base de l'état de fait qui lui était présenté à cette date, aurait pu faire autrement que de conclure à la réalisation de l'infraction. Il était loisible au recourant, s'il estimait avoir rempli ses obligations d'employeur, de contester l'ordonnance pénale par la voie de l'opposition, ainsi que l'a fait l'employé. Il a admis être au courant, pendant la procédure d'instruction, que B______ n'avait pas quitté le territoire suisse et qu'ainsi son autorisation de travailler avait potentiellement conservé sa validité. Le 25 mars 2019, l'employé a d'ailleurs déclaré avoir entamé les démarches nécessaires à la régularisation de sa situation administrative. Le recourant, conscient des arguments qu'il pouvait faire valoir, admet ne pas avoir contesté la décision, faute d'en avoir mesuré les conséquences –</w:t>
      </w:r>
    </w:p>
    <w:p>
      <w:r>
        <w:t>- 8/10 - P/8092/2019 administratives notamment – sur lui-même et l'entreprise dans laquelle il est lui- même employé. Or, la procédure selon l'art. 392 CPP ne vise pas à protéger l'absence d'opposition dans ces circonstances. En conséquence, les conditions de l'art. 392 CPP ne sont pas remplies en l'espèce.</w:t>
      </w:r>
    </w:p>
    <w:p>
      <w:r>
        <w:rPr>
          <w:b/>
        </w:rPr>
        <w:t>E. 4</w:t>
      </w:r>
    </w:p>
    <w:p>
      <w:r>
        <w:t>Justifiée, l'ordonnance querellée sera donc confirmée.</w:t>
      </w:r>
    </w:p>
    <w:p>
      <w:r>
        <w:rPr>
          <w:b/>
        </w:rPr>
        <w:t>E. 5</w:t>
      </w:r>
    </w:p>
    <w:p>
      <w:r>
        <w:t>Le recourant, qui succombe, supportera les frais envers l'État, fixés en totalité à CHF 1'000.- (art. 428 al. 1 CPP et 13 al. 1 du Règlement fixant le tarif des frais en matière pénale, RTFMP ; E 4 10.03). * * * * *</w:t>
      </w:r>
    </w:p>
    <w:p>
      <w:r>
        <w:t>- 9/10 - P/8092/2019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