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ACPR/802/2025 vom 23. August 2025</w:t>
      </w:r>
    </w:p>
    <w:p>
      <w:r>
        <w:t>GE Cour de justice, 2025-08-23, FR</w:t>
      </w:r>
    </w:p>
    <w:p>
      <w:r>
        <w:rPr>
          <w:b/>
        </w:rPr>
        <w:t xml:space="preserve">Quelle: </w:t>
      </w:r>
      <w:r>
        <w:t>https://mcp.opencaselaw.ch/entscheid/ge_gerichte_ACPR_802_2025</w:t>
      </w:r>
    </w:p>
    <w:p>
      <w:r>
        <w:t>FR: GE_GERICHTE ACPR/802/2025 du 23 août 2025</w:t>
      </w:r>
    </w:p>
    <w:p>
      <w:r>
        <w:t>IT: GE_GERICHTE ACPR/802/2025 del 23 agosto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s'oppose à l'établissement de son profil d'ADN.</w:t>
      </w:r>
    </w:p>
    <w:p>
      <w:r>
        <w:rPr>
          <w:b/>
        </w:rPr>
        <w:t>E. 2.1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 L'établissement d'un profil d'ADN destiné à élucider des crimes ou délits passés/futurs n'est proportionné que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précité consid. 4.3; 1B_230/2022 du 7 septembre 2022 consid. 2.2).</w:t>
      </w:r>
    </w:p>
    <w:p>
      <w:r>
        <w:t>- 5/8 - P/18860/2025</w:t>
      </w:r>
    </w:p>
    <w:p>
      <w:r>
        <w:rPr>
          <w:b/>
        </w:rPr>
        <w:t>E. 2.3</w:t>
      </w:r>
    </w:p>
    <w:p>
      <w:r>
        <w:t>À teneur des points 4.1 et 4.3 de la Directive A.5 du Procureur général sur la gestion et la conservation des données signalétiques et des profils d'ADN, lorsque la police a procédé au prélèvement d'un échantillon d'ADN, le procureur en charge de la procédure pénale ordonne l'établissement d'un profil d'ADN en cas d'infraction(s) passée(s) lorsque le prévenu a déjà été soupçonné d'avoir commis une infraction susceptible d'être élucidée au moyen de l'ADN, soit notamment une infraction à l'"art. 19 LStup".</w:t>
      </w:r>
    </w:p>
    <w:p>
      <w:r>
        <w:rPr>
          <w:b/>
        </w:rPr>
        <w:t>E. 2.4</w:t>
      </w:r>
    </w:p>
    <w:p>
      <w:r>
        <w:t>En l'espèce, l'établissement du profil d'ADN du recourant a été ordonné pour élucider, non pas les infractions en cours d'instruction, mais d'autres actes contraires à la LStup, dès lors qu'il avait déjà été soupçonné pour des faits similaires. À cet égard, il existe des indices sérieux et concrets de la commission, par le recourant, de tels actes punissables. En effet, il a été condamné à trois reprises, entre le 29 mars 2017 et le 18 juin 2024, notamment par deux fois pour des délits à la LStup, soit des infractions qui dépassaient le cadre de la simple consommation personnelle. Ces condamnations à la LStup, dont la dernière remonte à un peu plus d'une année et est, partant récente, vont de pair avec des reproches répétés de situation irrégulière en Suisse, étant précisé que, pendant la période pénale précitée, l'intéressé a été condamné à deux reprises (11 juillet 2023 et 18 juin 2024) pour des infractions à la législation sur les étrangers. À cela s'ajoutent, les circonstances de son arrestation, intervenue dans le cadre d'une surveillance policière visant à lutter contre le trafic de stupéfiants, alors qu'il était en compagnie d'un "ami" qui lui aurait remis des pilules d'ecstasy avant de s'enfuir à la vue de la police. Il était de plus en possession d'un téléphone portable [dont il s'est opposé à la vérification par la police] et de CHF 230.30, d'une provenance inconnue, alors qu'il a indiqué devant le Ministère public se trouver dans une situation précaire. Ces éléments, ainsi que sa situation personnelle – absence de domicile connu et d'activité professionnelle avérée – laissent craindre un ancrage dans la délinquance liée aux stupéfiants et permettent de penser que l'intéressé pourrait être impliqué dans d'autres infractions à la LStup encore inconnues des autorités, qui pourraient lui être attribuées si l'on était en mesure de comparer son profil d'ADN à des traces prélevées sur les lieux de leur commission. Les infractions à la LStup susceptibles d'être élucidées revêtent également une certaine gravité eu égard à la santé publique. Il s'agit d'ailleurs d'un des cas expressément listés par la Directive A.5 du Procureur général (cf. n. 4.3) qui, bien que n'ayant pas force de loi, est fondée sur l'art. 255 al. 1bis CPP, lequel autorise l'établissement d'un profil d'ADN pour les infractions passées. Contrairement à ce qu'affirme le recourant, cette directive ne vise pas uniquement les infractions graves à la LStup, se référant au</w:t>
      </w:r>
    </w:p>
    <w:p>
      <w:r>
        <w:t>- 6/8 - P/18860/2025 contraire, à son point 4.3, à l'art. 19 de cette loi sans distinction d'alinéa. Le point 4.2 – cité par le recourant – n'a, quant à lui, pas vocation à s'appliquer in casu, l'ordonnance entreprise n'étant pas fondée sur l'art. 255 al. 1 CPP. L'arrêt de la Chambre de céans cité par le recourant – qui annule une décision du Ministère public ordonnant l'établissement d'un profil d'ADN – ne lui est d'aucun secours et ne saurait donc être transposé ici. Dans ladite affaire, en particulier, le prévenu n'était soupçonné que d'infraction à la LEI – l'absorption par lui d’un parachute de stupéfiants n’ayant pas été retenue –. Tel n'est pas le cas ici, le recourant étant, comme on l'a vu, également soupçonné d'infraction à l'art. 19 LStup. Partant, la mesure querellée n'apparaît pas inutile ou disproportionnée. Que son coût soit éventuellement mis à la charge du recourant – ce qui n'est pas évident à ce stade, dès lors que cette question ne se posera qu'à l'issue de la procédure et à la condition que l'intéressé soit condamné – n'est donc pas pertinent. En définitive, l'ordonnance querellée ne prête pas le flanc à la critique, les réquisits pour le prononcé de l'établissement du profil d'ADN du recourant étant réunis.</w:t>
      </w:r>
    </w:p>
    <w:p>
      <w:r>
        <w:rPr>
          <w:b/>
        </w:rPr>
        <w:t>E. 3</w:t>
      </w:r>
    </w:p>
    <w:p>
      <w:r>
        <w:t>Justifiée, l'ordonnance attaquée sera donc confirmée. Le recours, qui s'avère mal fondé, pouvait d'emblée être traité sans échange d'écritures ni débats (art. 390 al. 2 et 5 a contrario CPP).</w:t>
      </w:r>
    </w:p>
    <w:p>
      <w:r>
        <w:rPr>
          <w:b/>
        </w:rPr>
        <w:t>E. 4</w:t>
      </w:r>
    </w:p>
    <w:p>
      <w:r>
        <w:t>Le recourant, qui succombe, supportera les frais envers l'État, fixés en totalité à CHF 500.- (art. 428 al. 1 CPP et 13 al. 1 du Règlement fixant le tarif des frais en matière pénale, RTFMP; E 4 10.03).</w:t>
      </w:r>
    </w:p>
    <w:p>
      <w:r>
        <w:rPr>
          <w:b/>
        </w:rPr>
        <w:t>E. 5</w:t>
      </w:r>
    </w:p>
    <w:p>
      <w:r>
        <w:t>Corrélativement, aucun dépens ne lui est dû (ATF 144 IV 207 consid. 1.8.2). * * * * *</w:t>
      </w:r>
    </w:p>
    <w:p>
      <w:r>
        <w:t>- 7/8 - P/18860/2025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