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ACPR/800/2019 vom 15. Oktober 2019</w:t>
      </w:r>
    </w:p>
    <w:p>
      <w:r>
        <w:t>GE Cour de justice, 2019-10-15, FR</w:t>
      </w:r>
    </w:p>
    <w:p>
      <w:r>
        <w:rPr>
          <w:b/>
        </w:rPr>
        <w:t xml:space="preserve">Quelle: </w:t>
      </w:r>
      <w:r>
        <w:t>https://mcp.opencaselaw.ch/entscheid/ge_gerichte_ACPR_800_2019</w:t>
      </w:r>
    </w:p>
    <w:p>
      <w:r>
        <w:t>FR: GE_GERICHTE ACPR/800/2019 du 15 octobre 2019</w:t>
      </w:r>
    </w:p>
    <w:p>
      <w:r>
        <w:t>IT: GE_GERICHTE ACPR/800/2019 del 15 ottobre 2019</w:t>
      </w:r>
    </w:p>
    <w:p>
      <w:pPr>
        <w:pStyle w:val="Heading2"/>
      </w:pPr>
      <w:r>
        <w:t>Erwägungen</w:t>
      </w:r>
    </w:p>
    <w:p>
      <w:r>
        <w:rPr>
          <w:b/>
        </w:rPr>
        <w:t>E. 1.1</w:t>
      </w:r>
    </w:p>
    <w:p>
      <w:r>
        <w:t>La récusation des magistrats et fonctionnaires judiciaires au sein d'une autorité pénale est régie expressément par le CPP (art. 56 et ss. CPP).</w:t>
      </w:r>
    </w:p>
    <w:p>
      <w:r>
        <w:t>- 6/11 - PS/66/2019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 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w:t>
      </w:r>
    </w:p>
    <w:p>
      <w:r>
        <w:rPr>
          <w:b/>
        </w:rPr>
        <w:t>E. 2.2</w:t>
      </w:r>
    </w:p>
    <w:p>
      <w:r>
        <w:t>En l'espèce, le recourant invoque, dans ses griefs numérotés 1 à 11, des faits et actes de la procédure anciens, contre lesquels il aurait pu recourir, s'il s'y estimait fondé, y compris pour déni de justice, ou contre lesquels il aurait dû immédiatement élever une demande de récusation si les conditions étaient selon lui réalisées. N'ayant pas agi en temps utile, sa demande est tardive, partant irrecevable. De même, le recourant ne saurait fonder sa demande de récusation sur des faits postérieurs à celle-ci (cf. courriers de son conseil à la direction de la prison, postérieurs au 10 septembre 2019). Partant, seuls les griefs soulevés aux chiffres 12 et 13 de sa demande sont recevables.</w:t>
      </w:r>
    </w:p>
    <w:p>
      <w:r>
        <w:t>- 7/11 - PS/66/2019</w:t>
      </w:r>
    </w:p>
    <w:p>
      <w:r>
        <w:rPr>
          <w:b/>
        </w:rPr>
        <w:t>E. 3.1</w:t>
      </w:r>
    </w:p>
    <w:p>
      <w:r>
        <w:t>À teneur de l'art. 56 CPP, toute personne exerçant une fonction au sein d'une autorité pénale est tenue de se récuser, notamment, lorsque d'autres motifs que ceux visés aux chiffres a à e de cette disposition, notamment un rapport d'amitié étroit ou d'inimitié avec une partie ou son conseil juridique, sont de nature à la rendre suspecte de prévention (let. f).</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 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w:t>
      </w:r>
    </w:p>
    <w:p>
      <w:r>
        <w:t>- 8/11 - PS/66/2019 entacher l'impartialité du juge lors d'une autre procédure impliquant son adversaire (ATF 134 I 20 consid. 4.3.2).</w:t>
      </w:r>
    </w:p>
    <w:p>
      <w:r>
        <w:rPr>
          <w:b/>
        </w:rPr>
        <w:t>E. 3.3</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rPr>
          <w:b/>
        </w:rPr>
        <w:t>E. 3.4</w:t>
      </w:r>
    </w:p>
    <w:p>
      <w:r>
        <w:t>En l'espèce, le recourant allègue avoir découvert, le 6 septembre 2019, que sa signature ne figurait pas sur la majorité des procès-verbaux d'audition et que ceux qui étaient signés ne l'étaient en aucun cas par lui. Le requérant n'ayant pas produit, à l'appui de ses allégations, copie des actes contestés, il n'est pas possible de s'y référer, ni de les examiner. Il ressort toutefois du dossier que des auditions de témoins ou d'autres parties ont eu lieu hors la présence du prévenu, souvent à sa demande (cf. ACPR/396/2019 let. B.e.c. et B.e.e.). Il était toutefois représenté par son avocat. Partant, l'absence de signature du requérant au pied de ces procès-verbaux ne saurait constituer un motif de récusation de la Procureure. Ses accusations portant sur une prétendue falsification de sa signature ne sont nullement étayées. Le requérant dénonce ensuite un "complot et participation de la procureure, d'un avocat et d'autres personnes ayant trait à la procédure d'instruction à l'organisation d'un groupe qui savait pertinemment que des violations intentionnelles de la procédure contrevenant au droit suisse et au droit international avaient lieu". À bien le comprendre, le recourant considère être victime d'un complot ourdi par la Procureure, avec l'aide de son premier défenseur d'office – nommé par le Ministère public – et "d'autres personnes". Outre que l'imprécision de ce grief rend</w:t>
      </w:r>
    </w:p>
    <w:p>
      <w:r>
        <w:t>- 9/11 - PS/66/2019 son examen impossible, il sera relevé que les charges de la procédure ont été examinées, et retenues, à cinq reprises par la Chambre de céans (ACPR/173/2018 du 23 mars 2018, ACPR/396/2018 du 13 juillet 2018, ACPR/441/2018 du 13 août 2018, ACPR/396/2019 du 27 mai 2019 et ACPR/672/2019 du 3 septembre 2019), ainsi que par le Tribunal fédéral (arrêt 1B_325/2019 consid. 6.2 précité). Le grief est dès lors infondé. Le recourant soulève en outre les "antagonismes" qui l'opposeraient à la citée et le fait que les audiences se dérouleraient dans une "grande tension". À la lecture du dossier on ne décèle pas d'indice d'inimitié – au sens que la jurisprudence sus-visée accorde à ce terme – de la part de la citée, et le requérant ne fournit aucun élément précis à cet égard. Le fait qu'il ait été amené de force à une audience ou que la BSA ait assuré la sécurité durant les audiences n'est pas un signe d'inimitié, la citée ayant fait usage des moyens légaux à sa disposition pour assurer le bon déroulement de l'instruction. Depuis, le requérant a fait usage de son droit à se taire et la citée a pris note de son refus d'assister aux audiences d'instruction. Il n'y a pas là motif à récusation. Enfin, s'agissant des problèmes médicaux que le requérant soulève à nouveau, il est rappelé que l'accès aux soins à la prison ne dépend pas de la Procureure, mais des autorités pénitentiaires.</w:t>
      </w:r>
    </w:p>
    <w:p>
      <w:r>
        <w:rPr>
          <w:b/>
        </w:rPr>
        <w:t>E. 4</w:t>
      </w:r>
    </w:p>
    <w:p>
      <w:r>
        <w:t>Infondée, la demande de récusation sera rejetée.</w:t>
      </w:r>
    </w:p>
    <w:p>
      <w:r>
        <w:rPr>
          <w:b/>
        </w:rPr>
        <w:t>E. 5</w:t>
      </w:r>
    </w:p>
    <w:p>
      <w:r>
        <w:t>En tant qu'il succombe, le requérant supportera les frais de la procédure (art. 59 al. 4 CPP), qui comprennent un émolument de CHF 600.-. * * * * *</w:t>
      </w:r>
    </w:p>
    <w:p>
      <w:r>
        <w:t>- 10/11 - PS/66/2019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