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ACPR/7/2026 vom 7. Dezember 2025</w:t>
      </w:r>
    </w:p>
    <w:p>
      <w:r>
        <w:t>GE Cour de justice, 2025-12-07, FR</w:t>
      </w:r>
    </w:p>
    <w:p>
      <w:r>
        <w:rPr>
          <w:b/>
        </w:rPr>
        <w:t xml:space="preserve">Quelle: </w:t>
      </w:r>
      <w:r>
        <w:t>https://mcp.opencaselaw.ch/entscheid/ge_gerichte_ACPR_7_2026</w:t>
      </w:r>
    </w:p>
    <w:p>
      <w:r>
        <w:t>FR: GE_GERICHTE ACPR/7/2026 du 7 décembre 2025</w:t>
      </w:r>
    </w:p>
    <w:p>
      <w:r>
        <w:t>IT: GE_GERICHTE ACPR/7/2026 del 7 dicembre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qui, partie à la procédure (art. 104 al. 1 let. a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s'oppose à l'établissement de son profil d'ADN.</w:t>
      </w:r>
    </w:p>
    <w:p>
      <w:r>
        <w:rPr>
          <w:b/>
        </w:rPr>
        <w:t>E. 3.1</w:t>
      </w:r>
    </w:p>
    <w:p>
      <w:r>
        <w:t>L'établissement d'un profil d'ADN est de nature à porter atteinte au droit à la liberté personnelle (art. 10 al. 2 Cst.) et à la protection contre l'emploi abusif de données privées (art. 13 al. 2 Cst. et 8 CEDH).</w:t>
      </w:r>
    </w:p>
    <w:p>
      <w:r>
        <w:t>- 5/9 - P/26547/2025 Cette mesure doit, en conséquence, se fonder sur une base légale, être justifiée par un intérêt public et être proportionnée au but visé (ATF 147 I 372 consid. 2.3.3; arrêt du Tribunal fédéral 1B_631/2022 du 14 février 2023 consid. 2).</w:t>
      </w:r>
    </w:p>
    <w:p>
      <w:r>
        <w:rPr>
          <w:b/>
        </w:rPr>
        <w:t>E. 3.2</w:t>
      </w:r>
    </w:p>
    <w:p>
      <w:r>
        <w:t>Selon l'art. 255 al. 1bis CPP, le prélèvement et l'établissement d'un profil d'ADN peuvent être ordonnés sur le prévenu si des indices concrets laissent présumer qu'il pourrait avoir commis d'autres crimes ou délits que celui ou ceux pour lesquels l'instruction est en cours. Une telle mesure peut être ordonnée par le ministère public durant l'instruction (ATF 141 IV 87 consid. 1.3.2).</w:t>
      </w:r>
    </w:p>
    <w:p>
      <w:r>
        <w:rPr>
          <w:b/>
        </w:rPr>
        <w:t>E. 3.3</w:t>
      </w:r>
    </w:p>
    <w:p>
      <w:r>
        <w:t>L'établissement d'un profil d'ADN destiné à élucider des crimes ou délits passés/futurs n'est proportionné que s'il existe des indices sérieux et concrets que le prévenu pourrait être impliqué dans d'autres infractions. Celles-ci doivent revêtir une certaine gravité (ATF 147 I 372 consid. 4.2). L'on prendra en considération, dans la pesée des intérêts à réaliser, les éventuels antécédents de l'intéressé (ATF 145 IV 263 consid. 3.4; arrêt du Tribunal fédéral 1B_230/2022 du 7 septembre 2022 consid. 2.2).</w:t>
      </w:r>
    </w:p>
    <w:p>
      <w:r>
        <w:rPr>
          <w:b/>
        </w:rPr>
        <w:t>E. 3.4</w:t>
      </w:r>
    </w:p>
    <w:p>
      <w:r>
        <w:t>L'art. 255 CPP ne permet pas le prélèvement routinier d'échantillons d'ADN et leur analyse, ce que concrétise l'art. 197 al. 1 CPP. Selon cette disposition, des mesures de contrainte ne peuvent être prises que si des soupçons suffisants laissent présumer une infraction (let. b), si les buts poursuivis ne peuvent pas être atteints par des mesures moins sévères (let. c) et si elles apparaissent justifiées au regard de la gravité de l'infraction (let. d). Les antécédents doivent également être pris en compte. Cependant, l'absence d'antécédents n'exclut pas en soi l'établissement d'un profil d'ADN (ATF 147 I 372 précité consid. 2.1; 145 IV 263 consid. 3.4; arrêt du Tribunal fédéral 1B_230/2022 précité consid. 2.2).</w:t>
      </w:r>
    </w:p>
    <w:p>
      <w:r>
        <w:rPr>
          <w:b/>
        </w:rPr>
        <w:t>E. 3.5</w:t>
      </w:r>
    </w:p>
    <w:p>
      <w:r>
        <w:t>Selon l'art. 353 al. 1 let. fbis CPP, l’ordonnance pénale contient le délai d’effacement d’un profil d’ADN éventuellement existant.</w:t>
      </w:r>
    </w:p>
    <w:p>
      <w:r>
        <w:rPr>
          <w:b/>
        </w:rPr>
        <w:t>E. 3.6</w:t>
      </w:r>
    </w:p>
    <w:p>
      <w:r>
        <w:t>En l'espèce, l'établissement du profil d'ADN du recourant a été ordonné pour élucider, non pas les infractions en cours d'instruction, mais d'autres actes contraires à la LStup, dès lors que le recourant a déjà été soupçonné pour des faits similaires. Dans son recours, le recourant ne prétend pas que les conditions de l’art. 255 al. 1bis CPP ne seraient pas réalisées, au vu de ses précédentes condamnations pour délits à la LStup. Il soutient en revanche que la mesure serait disproportionnée car il aurait déjà fait l’objet d’établissements de son profil d’ADN lors de ses précédentes arrestations. Or, il ne paraît ni arbitraire ni contraire au principe de la proportionnalité que chaque arrestation d’un prévenu puisse donner lieu à l’établissement d’un profil d’ADN, si les conditions de l’art. 255 CPP sont remplies – ce qui est le cas ici –. La Chambre de céans est en effet d'avis [cf. notamment, ACPR/400/2025 du 23 mai 2025 consid. 2.3] que dans la mesure où les profils d'ADN sont soumis à effacement après un certain délai [cf. art. 16 de la loi sur les profils d'ADN], il existe un intérêt</w:t>
      </w:r>
    </w:p>
    <w:p>
      <w:r>
        <w:t>- 6/9 - P/26547/2025 public prépondérant – quand bien même l'établissement du profil d'ADN aurait déjà été ordonné à une ou plusieurs reprises et son effacement n'interviendrait pas avant de nombreuses années –, à soumettre derechef le prévenu à cette mesure, pour autant que les conditions légales soient à nouveau réalisées, ce qui est le cas en l'espèce. Ce sont d'ailleurs les soupçons de la commission de nouvelles infractions – en l'occurrence des délits à la LStup – qui ont conduit le Ministère public à ordonner à nouveau l'établissement du profil d'ADN du recourant, afin d'en prolonger d'autant la date d'effacement dans les fichiers de la police. Dans la mesure où on se trouve dans une situation dans laquelle l'art. 255 al. 1bis CPP permet d'ordonner un tel établissement, la mesure est légale, et, partant, nullement arbitraire. Le recourant invoque encore le droit à être protégé contre l'emploi abusif des données qui le concernent (art. 8 CEDH et art. 13 al. 2 Cst. féd.). Or, on ne voit pas en quoi le nouvel établissement de son profil d'ADN pourrait constituer un tel emploi abusif, puisqu'il a été ordonné sur la base – légale – de l'art. 255 al. 1bis CPP, dont les conditions sont remplies, comme cela a été retenu ci-dessus. Ainsi, le fait, pour le Ministère public, d'avoir, dans de telles circonstances, ordonné une nouvelle fois l'établissement du profil d'ADN du recourant, afin d'en prolonger le délai de conservation, n'apparait nullement disproportionné, quand bien-même l'échéance dudit délai n'interviendrait que dans dix ou vingt ans. Le recourant soutient que le nouvel établissement de son profil d’ADN détournerait l’art. 17 de la loi sur les profils d’ADN, mais la Chambre de céans ne partage pas cette opinion. Cette disposition prévoit la possibilité de prolonger la durée de conservation lorsque le condamné présente un risque de récidive, c’est-à-dire dans les cas où l’intéressé, après avoir été condamné, n’a pas récidivé mais présente des caractéristiques faisant craindre une réitération. Or, dans le cas du recourant, le Ministère public a ordonné le nouvel établissement du profil d’ADN car l’intéressé est à nouveau soupçonné par la police d’avoir commis de nouvelles infractions pour lesquelles l’établissement d’un profil d’ADN est autorisé par l’art. 255 CPP. Dans le cas présent, un nouvel établissement, fondé sur la loi, en vue de prolonger d’autant le délai de conservation, ne paraît pas disproportionné ni ne viole l’art. 17 de la loi sur les profils d’ADN, lequel est prévu pour les cas dans lesquels la récidive, bien que redoutée, n’est pas intervenue. Le recourant invoque encore que les frais de ce nouvel établissement de son profil d'ADN seraient mis à sa charge et à celle du contribuable genevois. Il n'a toutefois pas été condamné à en supporter le coût, de tels frais n'ayant pas été mis à sa charge dans l'ordonnance pénale prononcée. Que le coût de l’ordonnance querellée, qu’il estime à CHF 20.-, soit éventuellement mis à sa charge ultérieurement – ce qui n'est pas évident à ce stade, dès lors que cette question ne se posera qu'à l'issue de la procédure et à la condition que l'intéressé soit condamné définitivement – n'est donc pas pertinent. Pour le surplus, le recourant ne saurait se soustraire à la mesure au prétexte que les frais pourraient incomber au contribuable genevois.</w:t>
      </w:r>
    </w:p>
    <w:p>
      <w:r>
        <w:t>- 7/9 - P/26547/2025 Il s'ensuit que l'ordonnance querellée ne prête pas le flanc à la critique, les réquisits pour le prononcé de l'établissement du profil d'ADN du recourant étant réunis. Enfin, le délai d'effacement du profil d'ADN n'a pas à être mentionné expressément dans l'ordonnance d'établissement d'un tel profil, mais dans l'ordonnance pénale (ou le jugement) faisant suite à cette mesure (cf. art. 353 al. 1 let. fbis CPP). En effet, selon l'issue de la procédure, l'intérêt public à disposer du profil d'ADN de l'intéressé ne sera pas le même, de sorte qu'il appartient au juge du fond de trancher cette question. Partant, la mesure, qui repose sur une base légale et dictée par un intérêt public, est justifiée.</w:t>
      </w:r>
    </w:p>
    <w:p>
      <w:r>
        <w:rPr>
          <w:b/>
        </w:rPr>
        <w:t>E. 4</w:t>
      </w:r>
    </w:p>
    <w:p>
      <w:r>
        <w:t>Il s'ensuit que le recours doit être rejeté.</w:t>
      </w:r>
    </w:p>
    <w:p>
      <w:r>
        <w:rPr>
          <w:b/>
        </w:rPr>
        <w:t>E. 5</w:t>
      </w:r>
    </w:p>
    <w:p>
      <w:r>
        <w:t>Le recourant, qui succombe, supportera les frais envers l'État, fixés en totalité à CHF 600.- (art. 428 al. 1 CPP et 13 al. 1 du Règlement fixant le tarif des frais en matière pénale, RTFMP ; E 4 10.03). * * * * *</w:t>
      </w:r>
    </w:p>
    <w:p>
      <w:r>
        <w:t>- 8/9 - P/26547/2025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