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ACPR/7/2024 vom 18. Oktober 2023</w:t>
      </w:r>
    </w:p>
    <w:p>
      <w:r>
        <w:t>GE Cour de justice, 2023-10-18, FR</w:t>
      </w:r>
    </w:p>
    <w:p>
      <w:r>
        <w:rPr>
          <w:b/>
        </w:rPr>
        <w:t xml:space="preserve">Quelle: </w:t>
      </w:r>
      <w:r>
        <w:t>https://mcp.opencaselaw.ch/entscheid/ge_gerichte_ACPR_7_2024</w:t>
      </w:r>
    </w:p>
    <w:p>
      <w:r>
        <w:t>FR: GE_GERICHTE ACPR/7/2024 du 18 octobre 2023</w:t>
      </w:r>
    </w:p>
    <w:p>
      <w:r>
        <w:t>IT: GE_GERICHTE ACPR/7/2024 del 18 ottobre 2023</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Il ne porte que sur l'agression physique qu'aurait subie la mineure B______, le 30 août 2022, de la part de D______, à l'exclusion des injures prétendument proférées à son encontre le même jour, voire le 2 septembre 2022, par le mis en cause, de sorte que ces évènements n'ont pas à être abordés. En tant que la mineure est représentée par sa mère, A______ (art. 104 al. 1 let. b CPP), elle a qualité pour agir, ayant un intérêt juridiquement protégé à la modification ou à l'annulation de la décision querellée sur ce point (art. 382 al. 1 CPP). À cette aune, le recours est recevable.</w:t>
      </w:r>
    </w:p>
    <w:p>
      <w:r>
        <w:rPr>
          <w:b/>
        </w:rPr>
        <w:t>E. 1.3</w:t>
      </w:r>
    </w:p>
    <w:p>
      <w:r>
        <w:t>A______ n'a cependant pas qualité pour agir en son nom et personnellement pour les faits concernant sa fille, faute pour elle d'être directement lésée par ceux-ci. Son recours ne portant pas sur les menaces de mort qu'aurait proférées D______ à son endroit le 30 août 2022, dénoncées par elle dans sa plainte du 26 septembre 2022, il n'y a pas lieu de les examiner. Partant, son recours est irrecevable, faute de qualité pour agir.</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Commentaire romand : Code de procédure pénale suisse, 2ème éd., Bâle 2019, n. 9 ad art. 310).</w:t>
      </w:r>
    </w:p>
    <w:p>
      <w:r>
        <w:t>- 7/10 - P/21074/2022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2.2.1. Se rend coupable de lésions corporelles simples quiconque,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2.2.2. Les voies de faits, réprimées par l'art. 126 CP, se définissent comme des atteintes physiques, inoffensives et passagères, qui excèdent ce qui est socialement toléré, mais qui ne causent ni lésions corporelles, ni dommage à la santé; il s'agit généralement de contusions, de meurtrissures, d'écorchures ou de griffures.</w:t>
      </w:r>
    </w:p>
    <w:p>
      <w:r>
        <w:rPr>
          <w:b/>
        </w:rPr>
        <w:t>E. 2.3</w:t>
      </w:r>
    </w:p>
    <w:p>
      <w:r>
        <w:t>En l'espèce, il n'est pas contesté que, s'agissant de l'agression physique qui aurait été commise en début de soirée du 30 août 2022 par D______ sur B______, deux évènements successifs semblent avoir mis aux prises les protagonistes, une première fois au 5ème étage, puis devant la porte palière du couple I______/D______. D______ admet avoir rejoint B______ au 5ème étage alors que celle-ci était montée à l'étage pour chercher de l'aide. L'ayant vu parler au couple L______, il lui avait demandé de partir et, devant son refus, l'avait saisie et tirée par les habits au niveau des épaules. Il contestait cependant l'avoir blessée. Il contestait également l'avoir frappée lors du second épisode devant sa porte palière, lors duquel il disait avoir été agressé par A______ et sa fille aînée tandis qu'il prenait la défense de sa conjointe. L'attestation médicale établie le soir même par l'Hôpital F______ fait cependant état de dermabrasions au niveau du dos et d'un érythème sur le bras avec douleur à la palpation sur la personne de B______. Ces lésions, documentées par des photographies prises par la mère de la jeune fille, apparaissent compatibles avec les faits constants rapportés par la jeune fille, que ce soit à la doctoresse urgentiste ou dans son audition EVIG. L'absence constatée d'hématomes et d'ecchymoses plaide en outre pour des lésions fraîches, a priori incompatibles avec des actes de maltraitance physique de la part de la mère, évoqués par le mise en cause.</w:t>
      </w:r>
    </w:p>
    <w:p>
      <w:r>
        <w:t>- 8/10 - P/21074/2022 Que M______ semble partager l'avis du mis en cause sur ce point n'est pas déterminant, son témoignage devant être relativisé, vu ses liens d'amitié avec le précité. Il en résulte qu'à ce stade, il existe à tout le moins une prévention pénale suffisante de voies de fait sur la personne de B______ à l'endroit du mis en cause. L'ordonnance querellée sera ainsi annulée sur ce point et la cause renvoyée au Ministère public pour qu'il poursuive l'intéressé de ce chef, voire ouvre une instruction pour procéder à l'audition du couple L______, lequel n'aurait toutefois assisté qu'au premier épisode de l'altercation du 30 août 2022.</w:t>
      </w:r>
    </w:p>
    <w:p>
      <w:r>
        <w:rPr>
          <w:b/>
        </w:rPr>
        <w:t>E. 3</w:t>
      </w:r>
    </w:p>
    <w:p>
      <w:r>
        <w:t>B______, qui a gain de cause, ne supportera aucun frais. A______, qui succombe (art. 428 al. 1 2ème phrase CPP), supportera les frais envers l'État, qui seront fixés au total, en ce qui la concerne, à CHF 450.-. Ce montant sera prélevé sur les sûretés versées et le solde lui sera restitué.</w:t>
      </w:r>
    </w:p>
    <w:p>
      <w:r>
        <w:rPr>
          <w:b/>
        </w:rPr>
        <w:t>E. 4</w:t>
      </w:r>
    </w:p>
    <w:p>
      <w:r>
        <w:t>Les recourantes concluent, pour l'instance de recours, à une indemnité correspondant à 6h18 d'activité totale de leur conseil (au tarif horaire de CHF 450.-), plus 3% de frais et la TVA en 7.7%, soit CHF 3'144.95. Seule l'activité générée pour B______, qui obtient gain de cause, sera indemnisée (art. 433 al. 2 cum 436 al. 1 et 3 CPP). Eu égard à l'acte de recours de 8 pages (pages de garde et conclusions comprises), à sa motivation dépourvue de complexité et à la brève réplique, 3 heures d'activité au tarif demandé apparaissent largement suffisantes et seront indemnisées, majorées de la TVA, étant précisé qu'aucun forfait en sus ne se justifie en instance de recours (ACPR/762/2018 du 14 décembre 2018).</w:t>
      </w:r>
    </w:p>
    <w:p>
      <w:r>
        <w:t>* * * * *</w:t>
      </w:r>
    </w:p>
    <w:p>
      <w:r>
        <w:t>- 9/10 - P/21074/2022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