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ACPR/7/2022 vom 8. Oktober 2021</w:t>
      </w:r>
    </w:p>
    <w:p>
      <w:r>
        <w:t>GE Cour de justice, 2021-10-08, FR</w:t>
      </w:r>
    </w:p>
    <w:p>
      <w:r>
        <w:rPr>
          <w:b/>
        </w:rPr>
        <w:t xml:space="preserve">Quelle: </w:t>
      </w:r>
      <w:r>
        <w:t>https://mcp.opencaselaw.ch/entscheid/ge_gerichte_ACPR_7_2022</w:t>
      </w:r>
    </w:p>
    <w:p>
      <w:r>
        <w:t>FR: GE_GERICHTE ACPR/7/2022 du 8 octobre 2021</w:t>
      </w:r>
    </w:p>
    <w:p>
      <w:r>
        <w:t>IT: GE_GERICHTE ACPR/7/2022 del 8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Bien que le recourant ne prend aucune conclusion formelle, on comprend qu'il reproche au Ministère public d'avoir renoncé à poursuivre les infractions dénoncées. Il n'avait pas pu s'expliquer.</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w:t>
      </w:r>
    </w:p>
    <w:p>
      <w:r>
        <w:t>- 6/10 - P/6466/2020 3.2.1.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vol. I, 3ème éd., Berne 2010, n. 16 ad art. 123 CP). L'infraction est intentionnelle, cette intention devant porter sur tous les éléments constitutifs de l'infraction, le dol éventuel étant toutefois suffisant (ATF 119 IV 1 consid. 5a; ATF 103 IV 65 consid. 1.2). 3.2.2.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3.2.3.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w:t>
      </w:r>
    </w:p>
    <w:p>
      <w:r>
        <w:t>- 7/10 - P/6466/2020 3.2.4. L'art. 200 CPP précise que la force ne peut être utilisée qu'en dernier recours pour exécuter les mesures de contrainte ;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al. 1 CPP,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Commentaire romand : Code de procédure pénale suisse, 2ème éd. Bâle 2019, nos. 2 et 3 ad art. 200). 3.2.5. L'art. 115 CP enfin, réprime celui qui, poussé par un mobile égoïste, aura incité une personne au suicide, ou lui aura prêté assistance en vue du suicide.</w:t>
      </w:r>
    </w:p>
    <w:p>
      <w:r>
        <w:rPr>
          <w:b/>
        </w:rPr>
        <w:t>E. 3.3</w:t>
      </w:r>
    </w:p>
    <w:p>
      <w:r>
        <w:t>En l'espèce, les actes dénoncés par le recourant ont fait l'objet d'une enquête approfondie, à l'occasion de laquelle les gardiens potentiellement impliqués ont été entendus, tout comme le plaignant – à deux reprises –, lequel a ainsi eu le loisir de préciser sa plainte. Aucun manquement pénalement répréhensible de la part des gardiens de la prison n'en est ressorti. Informé de l'avis de prochaine clôture de l'instruction et du prononcé d'une ordonnance de classement, le plaignant n'a pas réagi, ne requérant ainsi aucun acte d'enquête supplémentaire. On ne décèle ainsi aucune violation de son droit d'être entendu. Dans son ordonnance querellée, le Ministère public a, sur plus de cinq pages, relaté par le menu le déroulement des faits et les investigations menées par l'IGS pour conclure à l'absence d'infractions. Le recourant, invité à motiver son recours, s'est contenté de persister dans sa plainte sans démontrer en quoi le raisonnement du Ministère public violerait la loi.</w:t>
      </w:r>
    </w:p>
    <w:p>
      <w:r>
        <w:t>- 8/10 - P/6466/2020 Il semble contester sa mise au cachot, alors que cette sanction – qu'il aurait au demeurant dû contester par les voies de droit idoines s'il ne l'estimait pas fondée – résultait du fait qu'il avait été trouvé en possession d'objets prohibés ramassés à terre lors de la promenade.</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r>
        <w:t>- 9/10 - P/6466/2020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