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ACPR/79/2020 vom 9. September 2019</w:t>
      </w:r>
    </w:p>
    <w:p>
      <w:r>
        <w:t>GE Cour de justice, 2019-09-09, FR</w:t>
      </w:r>
    </w:p>
    <w:p>
      <w:r>
        <w:rPr>
          <w:b/>
        </w:rPr>
        <w:t xml:space="preserve">Quelle: </w:t>
      </w:r>
      <w:r>
        <w:t>https://mcp.opencaselaw.ch/entscheid/ge_gerichte_ACPR_79_2020</w:t>
      </w:r>
    </w:p>
    <w:p>
      <w:r>
        <w:t>FR: GE_GERICHTE ACPR/79/2020 du 9 septembre 2019</w:t>
      </w:r>
    </w:p>
    <w:p>
      <w:r>
        <w:t>IT: GE_GERICHTE ACPR/79/2020 del 9 settembre 2019</w:t>
      </w:r>
    </w:p>
    <w:p>
      <w:pPr>
        <w:pStyle w:val="Heading2"/>
      </w:pPr>
      <w:r>
        <w:t>Erwägungen</w:t>
      </w:r>
    </w:p>
    <w:p>
      <w:r>
        <w:rPr>
          <w:b/>
        </w:rPr>
        <w:t>E. 1</w:t>
      </w:r>
    </w:p>
    <w:p>
      <w:r>
        <w:t>Le recours est recevable pour avoir été déposé selon la forme et dans le délai prescrits – la décision querellée ayant été communiquée par pli simple –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d'un déni de justice du Ministère public.</w:t>
      </w:r>
    </w:p>
    <w:p>
      <w:r>
        <w:rPr>
          <w:b/>
        </w:rPr>
        <w:t>E. 2.1</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de façon incorrecte une règle de procédure, de sorte qu'elle ferme l'accès à la justice au particulier qui, normalement, y aurait droit. L'autorité qui se refuse à statuer, ou ne le fait que partiellement, viole l'art. 29 al. 1 Cst. (ATF 144 II 184 consid. 3.1 p. 192).</w:t>
      </w:r>
    </w:p>
    <w:p>
      <w:r>
        <w:rPr>
          <w:b/>
        </w:rPr>
        <w:t>E. 2.2</w:t>
      </w:r>
    </w:p>
    <w:p>
      <w:r>
        <w:t>En l'espèce, le Ministère public n'a pas refusé de statuer, mais a au contraire rendu une décision, par laquelle il s'est déclaré incompétent ratione loci. Aucun déni de justice formel n'a été commis dans ce cadre. Le grief est rejeté.</w:t>
      </w:r>
    </w:p>
    <w:p>
      <w:r>
        <w:rPr>
          <w:b/>
        </w:rPr>
        <w:t>E. 3</w:t>
      </w:r>
    </w:p>
    <w:p>
      <w:r>
        <w:t>septembre 2013 consid. 4; ACPR/488/2014 du 31 octobre 2014 consid. 2.1; cf. toutefois l'arrêt du Tribunal fédéral 6B_1045/2014 du 19 mai 2015 consid. 4.3, non publié in ATF 141 IV 205, qui y voit une condition à l'ouverture de l'action pénale). 3.2.2. Aux termes de l'art. 3 al. 1 CP, le Code pénal suisse est applicable à quiconque commet un crime ou un délit en Suisse. En application de l'art. 8 CP, un crime ou un délit est réputé commis tant au lieu où l'auteur a agi ou aurait dû agir qu'au lieu où le résultat s'est produit (al. 1).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p. 275). 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 et les références; 133 IV 171 consid. 6.3 p. 177; arrêt du Tribunal fédéral 6B_659/2014 du 22 décembre 2017 consid. 6.3.1).</w:t>
      </w:r>
    </w:p>
    <w:p>
      <w:r>
        <w:t>- 7/10 - P/9687/2011 3.2.3. En matière d'abus de confiance portant sur des valeurs patrimoniales (art. 138 ch. 1 al. 2 CP), le comportement délictueux consiste à utiliser la valeur patrimoniale confiée contrairement aux instructions reçues, en s'écartant de la destination fixée (ATF 129 IV 257 consid. 2.2.1 p. 259). Quant au résultat visé par l'art. 8 al. 1 CP, celui-ci englobe tant le résultat recherché par l'auteur, soit l'enrichissement voulu ou obtenu par ce dernier (arrêt du Tribunal fédéral 6B_1335/2018 du 28 février 2019 consid. 4.4.2 et 4.4.3 et les références citées), que l'appauvrissement causé par l'abus de confiance. Ainsi, le Tribunal fédéral a estimé suffisant le fait qu'un compte ouvert en Suisse appartenant à une société ayant son siège en Suisse ne soit pas, à la suite d'un abus de confiance, crédité des actifs convenus (ATF 124 IV 241 consid. 4c et d p. 244 s.). Il s'agit de localiser le dommage en fonction des particularités de chaque cas d'espèce, en déterminant concrètement quelles valeurs patrimoniales sont touchées et quelles obligations découlent du rapport de confiance, et non en fonction de critères généraux tels que le domicile ou le siège de la personne lésée (A. DYENS, Territorialité et ubiquité en droit pénal international suisse, thèse Lausanne, Bâle 2014, n. 886 p. 275).</w:t>
      </w:r>
    </w:p>
    <w:p>
      <w:r>
        <w:rPr>
          <w:b/>
        </w:rPr>
        <w:t>E. 3.1</w:t>
      </w:r>
    </w:p>
    <w:p>
      <w:r>
        <w:t>Selon l'art. 319 al. 1 CPP, le ministère public ordonne le classement de tout ou partie de la procédure lorsque les éléments constitutifs d'une infraction ne sont pas réunis (let. b). Cette condition doit être interprétée à la lumière de la maxime "in</w:t>
      </w:r>
    </w:p>
    <w:p>
      <w:r>
        <w:t>- 6/10 - P/9687/2011 dubio pro duriore" qui s'impose tant à l'autorité de poursuite qu'à l'autorité de recours durant l'instruction (ATF 138 IV 86 consid 4.1.1 ; arrêt du Tribunal fédéral 6B_152/2014 du 6 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3.2.1. L'incompétence des autorités pénales suisses à raison du lieu est constitutive d'un empêchement définitif de procéder au sens de l'art. 310 al. 1 let. b CPP (arrêts du Tribunal fédéral 6B_1355/2018 du 29 février 2019 consid. 4.5.1; 6B_127/2013 du</w:t>
      </w:r>
    </w:p>
    <w:p>
      <w:r>
        <w:rPr>
          <w:b/>
        </w:rPr>
        <w:t>E. 3.3</w:t>
      </w:r>
    </w:p>
    <w:p>
      <w:r>
        <w:t>En l'espèce, le recourant, qui n'était pas domicilié en Suisse à l'époque des faits, ne conteste pas que le lieu de la remise des fonds se situe à l'étranger. Il estime toutefois que le siège de la société à Genève, la signature du contrat et l'activité des prévenus-administrateurs également dans cette ville, permettaient de retenir un lien principal de rattachement avec la Suisse. On relèvera à cet égard que le seul siège de la société à Genève ne suffit pas pour reconnaître, de manière abstraite et sans examen spécifique des différents éléments constitutifs de l'infraction en cause, un rattachement territorial suffisant avec la Suisse (ATF 124 IV 241). En l'occurrence, sur la base des faits allégués dans la plainte, on comprend que le recourant devait – en vertu d'un contrat signé le 16 décembre 2005, prétendument à Genève, selon lequel un compte lui serait ouvert auprès d'une banque américaine, compte qui serait alimenté par USD 200 millions – remettre USD 200'000.- au titre d'avance. Le recourant lui-même a déclaré ne pas avoir vraiment compris le contrat. Cela étant, il soutient que C______ cherchait à constituer "un capital de 2 millions de dollars pour obtenir une garantie bancaire qui devait permettre d'obtenir un crédit de 50 millions de dollars pour investir dans divers projets immobiliers dans des pays arabes et au Brésil". Force est de constater que l'on peine à faire le lien entre cette déclaration et le contrat. Quoi qu'il en soit, le recourant dit avoir versé EURO 125'000.- en espèces, à B______, le même 16 décembre 2005, cette fois à I______, sans accusé de réception. Il prétend que ce versement est en lien avec le contrat du même jour et avoir reçu une lettre de crédit de USD 200'000.- en contrepartie.</w:t>
      </w:r>
    </w:p>
    <w:p>
      <w:r>
        <w:t>- 8/10 - P/9687/2011 Force est de constater que seule la signature du contrat et le siège de la société ont un lien avec Genève. C______, qui n'était déjà plus administrateur de la société, n'a pas signé le contrat et n'était pas présent en Allemagne; le recourant lui-même habitait l'Allemagne, pays où il a remis l'argent en espèces. Les fonds devaient, selon les dires-mêmes du recourant, être investis à l'étranger, mais en tout cas pas en Suisse; le compte bancaire devait être ouvert aux Etats-Unis. Le "détournement" ne lui a ainsi causé de dommage qu'au lieu où les fonds devaient être transférés, soit à l'étranger; son appauvrissement ayant également eu lieu à l'étranger. Ainsi, la décision entreprise, qui constate l'absence de compétence territoriale des autorités pénales genevoises en ce qui concerne l'infraction d'abus de confiance, ne peut qu'être confirmée et le grief du recourant, rejeté.</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r>
        <w:t>- 9/10 - P/9687/2011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