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ACPR/79/2019 vom 30. Juni 2017</w:t>
      </w:r>
    </w:p>
    <w:p>
      <w:r>
        <w:t>GE Cour de justice, 2017-06-30, FR</w:t>
      </w:r>
    </w:p>
    <w:p>
      <w:r>
        <w:rPr>
          <w:b/>
        </w:rPr>
        <w:t xml:space="preserve">Quelle: </w:t>
      </w:r>
      <w:r>
        <w:t>https://mcp.opencaselaw.ch/entscheid/ge_gerichte_ACPR_79_2019</w:t>
      </w:r>
    </w:p>
    <w:p>
      <w:r>
        <w:t>FR: GE_GERICHTE ACPR/79/2019 du 30 juin 2017</w:t>
      </w:r>
    </w:p>
    <w:p>
      <w:r>
        <w:t>IT: GE_GERICHTE ACPR/79/2019 del 30 giugno 2017</w:t>
      </w:r>
    </w:p>
    <w:p>
      <w:pPr>
        <w:pStyle w:val="Heading2"/>
      </w:pPr>
      <w:r>
        <w:t>Erwägungen</w:t>
      </w:r>
    </w:p>
    <w:p>
      <w:r>
        <w:rPr>
          <w:b/>
        </w:rPr>
        <w:t>E. 1.1</w:t>
      </w:r>
    </w:p>
    <w:p>
      <w:r>
        <w:t>Le recours de B______ au Tribunal fédéral, contre le précédent arrêt de la Chambre de céans, qui déclarait irrecevable son recours, ayant à son tour été déclaré irrecevable, l'absence de qualité de recourir de cette dernière est confirmée.</w:t>
      </w:r>
    </w:p>
    <w:p>
      <w:r>
        <w:rPr>
          <w:b/>
        </w:rPr>
        <w:t>E. 1.2</w:t>
      </w:r>
    </w:p>
    <w:p>
      <w:r>
        <w:t>D______ ayant produit, devant la Chambre de céans, copie de la procuration signée en faveur de son avocat en vue du recours devant le Tribunal fédéral, il sera admis que le recourant a valablement formé recours. En sa qualité de propriétaire du véhicule litigieux, il dispose, en outre, de la qualité pour recourir, au sens de l'art. 382 CPP.</w:t>
      </w:r>
    </w:p>
    <w:p>
      <w:r>
        <w:rPr>
          <w:b/>
        </w:rPr>
        <w:t>E. 1.3</w:t>
      </w:r>
    </w:p>
    <w:p>
      <w:r>
        <w:t>Les autres conditions de recevabilité ayant déjà été admises (cf. ACPR/35/2018 consid. 2), le recours de A______ sera déclaré recevable.</w:t>
      </w:r>
    </w:p>
    <w:p>
      <w:r>
        <w:rPr>
          <w:b/>
        </w:rPr>
        <w:t>E. 2</w:t>
      </w:r>
    </w:p>
    <w:p>
      <w:r>
        <w:t>Dans un premier grief, le recourant reproche au Ministère public une violation de l'art. 393 al. 2 CPP en tant qu'il a omis de prendre en considération la photographie</w:t>
      </w:r>
    </w:p>
    <w:p>
      <w:r>
        <w:t>- 8/13 - P/1603/2016 du compteur kilométrique présentée à l'audience du 21 septembre 2016, laquelle devait suffire à convaincre de la culpabilité de l'intimé.</w:t>
      </w:r>
    </w:p>
    <w:p>
      <w:r>
        <w:rPr>
          <w:b/>
        </w:rPr>
        <w:t>E. 2.1</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A. KUHN / Y. JEANNERET (éds), Commentaire romand : Code de procédure pénale suisse, Bâle 2011, n. 17 ad art. 393 ; ACPR/200/2012 du 16 mai 2012).</w:t>
      </w:r>
    </w:p>
    <w:p>
      <w:r>
        <w:rPr>
          <w:b/>
        </w:rPr>
        <w:t>E. 2.2</w:t>
      </w:r>
    </w:p>
    <w:p>
      <w:r>
        <w:t>Les autorités n'ont pas l'obligation d'exposer et de discuter tous les faits, moyens de preuve et griefs invoqués par les parties, mais elle peut au contraire se limiter à ceux qui n'apparaissent pas d'emblée dépourvus de pertinence (ATF 130 II 530 consid. 4.3 ; ATF 126 I 97 consid. 2b ; ACPR/113/2017 du 27 février 2017).</w:t>
      </w:r>
    </w:p>
    <w:p>
      <w:r>
        <w:rPr>
          <w:b/>
        </w:rPr>
        <w:t>E. 2.3</w:t>
      </w:r>
    </w:p>
    <w:p>
      <w:r>
        <w:t>En l'espèce, il est exact que l'ordonnance attaquée ne mentionne pas la photographie présentée par G______ à l'audience du 21 septembre 2016. Toutefois, le Ministère public a retenu, en se fondant sur d'autres éléments de preuve figurant au dossier, que le kilométrage du véhicule avait été modifié de sorte à afficher moins de kilomètres que ceux effectivement parcourus. Or, la photographie en question ne permettrait pas d'en déduire autre chose. En particulier, le fait que G______ disposerait d'une photographie du compteur affichant le kilométrage réel du véhicule n'est pas de nature à établir qui a procédé à la modification délictueuse. De même, cette photographie ne permet pas à elle seule de conclure que C______ avait connaissance de la manipulation du compteur lorsqu'il a vendu le véhicule à B______. Ainsi, l'absence de mention de cette photographie, dans l'ordonnance querellée, ne porte pas à conséquence.</w:t>
      </w:r>
    </w:p>
    <w:p>
      <w:r>
        <w:rPr>
          <w:b/>
        </w:rPr>
        <w:t>E. 3</w:t>
      </w:r>
    </w:p>
    <w:p>
      <w:r>
        <w:t>Le recourant reproche par ailleurs au Ministère public d'avoir classé la procédure.</w:t>
      </w:r>
    </w:p>
    <w:p>
      <w:r>
        <w:rPr>
          <w:b/>
        </w:rPr>
        <w:t>E. 3.1</w:t>
      </w:r>
    </w:p>
    <w:p>
      <w:r>
        <w:t>Aux termes de l'art. 319 al. 1 CPP, le ministère public ordonne le classement de tout ou partie de la procédure notamment lorsqu'aucun soupçon justifiant une mise en accusation n'est établi (let. a). Cette disposition doit s'interpréter à la lumière de la maxime in dubio pro duriore, qui découle du principe de la légalité (art. 5 al. 1 Cst. et 2 al. 2 CPP en relation avec les art. 319 al. 1 et 324 CPP ; ATF 138 IV 86 consid. 4.2) et s'impose tant à l'autorité de poursuite qu'à l'autorité de recours durant l'instruction. Cet adage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w:t>
      </w:r>
    </w:p>
    <w:p>
      <w:r>
        <w:t>- 9/13 - P/1603/2016 la poursuite de l'enquête et à exclure un classement sur la base de l'art. 319 al. 1 let. a CPP (ATF 138 IV 86 consid. 4.1.2; A. KUHN / Y. JEANNERET (éds), op.cit., n. 5 ad art. 319; arrêt du Tribunal fédéral 6B_588/2007 du 11 avril 2008 consid. 3.2.3, publié in Praxis 2008 no 123). En cas de doute quant aux faits pertinents ou au droit applicable, le prévenu soit mis en accusation (ATF 138 IV 86 consid 4.1.1 ; arrêt du Tribunal fédéral 6B_152/2014 du 6 janvier 2015 consid. 3.2). Le Tribunal fédéral a rappelé qu'un classement n'est possible que lorsque l'impunité des actes du prévenu paraît claire ou lorsque les conditions à l'action pénale font manifestement défaut.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 ATF 138 IV 186 consid. 4.1; ATF 137 IV 285 s'agissant d'une ordonnance de non-entrée en matière). En effet, en présence d'une situation juridique ou probatoire peu claire, il appartient au juge du fond de décider de la culpabilité du prévenu. Lorsqu'il existe des versions factuelles contradictoires entre le prévenu et la victime, le prévenu doit en principe être renvoyé en jugement.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du principe in dubio pro duriore, ce n'est que lorsque la situation probatoire n'est pas claire qu'il est interdit au Ministère public d'anticiper l'administration des preuves que ferait le juge du fond (ATF 143 IV 241 consid. 2.2.1, 2.2.2 et 2.3).</w:t>
      </w:r>
    </w:p>
    <w:p>
      <w:r>
        <w:rPr>
          <w:b/>
        </w:rPr>
        <w:t>E. 3.2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w:t>
      </w:r>
    </w:p>
    <w:p>
      <w:r>
        <w:t>- 10/13 - P/1603/2016 des circonstances, qu'elle renoncera à le faire en raison d'un rapport de confiance particulier (ATF 135 IV 76 consid. 5.2 ; ATF 133 IV 256 consid. 4.4.3 ; ATF 128 IV 18 consid. 3a).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L'escroquerie ne sera consommée que s'il y a un dommage.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L'auteur doit en outre agir dans le dessein de se procurer ou de procurer à un tiers un enrichissement illégitime, soit un avantage patrimonial correspondant au désavantage patrimonial constituant le dommage (ATF 134 IV 210 consid. 5.3).</w:t>
      </w:r>
    </w:p>
    <w:p>
      <w:r>
        <w:rPr>
          <w:b/>
        </w:rPr>
        <w:t>E. 3.3</w:t>
      </w:r>
    </w:p>
    <w:p>
      <w:r>
        <w:t>En l'espèce, il ressort de différentes pièces versées à la procédure que le véhicule E______ avait respectivement parcouru 177'445 km et 206'538 km en date des 28 juin 2010 et 12 mars 2012. Dès lors, le compteur kilométrique, qui affichait 120'000 km lors de la vente du 29 octobre 2013, paraît avoir été manipulé. Le Ministère public a d'ailleurs retenu que le kilométrage avait été modifié pour apparaître inférieur à celui qui résultait véritablement de l'utilisation du véhicule. Cette modification n'était pas d'emblée visible à l'acquéreur final, qui a donc été trompé. La dupe a payé, pour le véhicule, un prix plus élevé, d'environ CHF 2'500.-, en raison de la manipulation du compteur kilométrique. Il s'ensuit que les conditions d'une escroquerie sont réalisées. C______ et G______ ont contesté avoir manipulé le compteur kilométrique. Cela étant, tous deux ont eu la possession du véhicule litigieux et en leurs qualités respectives de mécanicien et dépanneur sur véhicules, ont concrètement pu procéder à la manipulation de l'odomètre. De plus, chacun d'eux avait un intérêt financier à réduire le kilométrage du véhicule pour en faire augmenter le prix de vente, G______ pour l'échanger à moindre frais contre la I______ et C______ pour le vendre à un meilleur prix à la plaignante. La production, par le premier, d'une photographie de l'odomètre présentant 289'000 km n'est pas de nature à le disculper d'emblée, puisqu'on ignore, d'une part – la pièce ne figurant pas à la procédure –, quand cette photographie a été prise, et ce fait, fût-il établi, n'étant, d'autre part, pas incompatible avec une manipulation postérieure du compteur, soit à un moment compris entre la prise de la photographie et la vente du véhicule à C______. Par ailleurs, que le véhicule ait, le cas échéant, été vendu par C______ à la plaignante le jour même de</w:t>
      </w:r>
    </w:p>
    <w:p>
      <w:r>
        <w:t>- 11/13 - P/1603/2016 son acquisition, n'était pas de nature à empêcher la manipulation du compteur, le témoin J______, qui avait pris part à la transaction, n'ayant pas vérifié les kilomètres affichés au compteur ni les carnets de service ou de contrôle anti-pollution. Il s'ensuit que, les conditions de la réalisation d'une escroquerie étant établies, il n'est pas possible en l'état d'affirmer qu'un acquittement serait plus susceptible d'être prononcé qu'une condamnation. Les conditions d'un classement ne sont ainsi pas réunies et il appartiendra au Ministère public de renvoyer en jugement C______ et G______, après avoir entendu ce dernier en qualité de prévenu. La cause devant être renvoyée au Ministère public pour une mise en accusation, point n'est besoin d'examiner les actes d'instruction requis par le recourant.</w:t>
      </w:r>
    </w:p>
    <w:p>
      <w:r>
        <w:rPr>
          <w:b/>
        </w:rPr>
        <w:t>E. 4</w:t>
      </w:r>
    </w:p>
    <w:p>
      <w:r>
        <w:t>Fondé, le recours doit être admis ; partant, l'ordonnance querellée sera annulée et la cause renvoyée au Ministère public pour la mise en accusation de C______ et G______.</w:t>
      </w:r>
    </w:p>
    <w:p>
      <w:r>
        <w:rPr>
          <w:b/>
        </w:rPr>
        <w:t>E. 5</w:t>
      </w:r>
    </w:p>
    <w:p>
      <w:r>
        <w:t>L'admission du recours ne donne pas lieu à la perception de frais (art. 428 al. 1 CPP).</w:t>
      </w:r>
    </w:p>
    <w:p>
      <w:r>
        <w:rPr>
          <w:b/>
        </w:rPr>
        <w:t>E. 6</w:t>
      </w:r>
    </w:p>
    <w:p>
      <w:r>
        <w:t>Le recourant requiert le versement d'une indemnité de procédure de CHF 5'000.-.</w:t>
      </w:r>
    </w:p>
    <w:p>
      <w:r>
        <w:rPr>
          <w:b/>
        </w:rPr>
        <w:t>E. 6.1</w:t>
      </w:r>
    </w:p>
    <w:p>
      <w:r>
        <w:t>L'art. 436 CPP règle les prétentions en indemnités et en réparation du tort moral pour la procédure de recours. Elle vise la procédure de recours en général, à savoir les procédures d'appel et de recours (au sens des art. 393 ss CPP). L'art. 436 al. 1 CPP renvoie aux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 La notion de juste indemnité ne se confond pas avec celle des prétentions civiles. Il ne s'agit que du remboursement des dépenses et des frais occasionnés à l'occasion de la procédure pénale. Elle se confond avec celle de dépens. Elle comprend notamment les frais de défense (L. MOREILLON / A. PAREIN-REYMOND, CPP, Code de procédure pénale, 2ème éd., Bâle 2016, n. 5a et 6 ad art. 433). La Chambre de céans applique un tarif horaire de CHF 450.- (ACPR/112/2014 du 26 février 2014, renvoyant au tarif "usuel" de CHF 400.- ressortant de la SJ 2012 I 175 ;</w:t>
      </w:r>
    </w:p>
    <w:p>
      <w:r>
        <w:t>- 12/13 - P/1603/2016 cf. aussi ACPR/279/2014 du 27 mai 2014, ACPR/21/2014 du 13 janvier 2014, ACPR/442/2012 du 17 octobre 2012).</w:t>
      </w:r>
    </w:p>
    <w:p>
      <w:r>
        <w:rPr>
          <w:b/>
        </w:rPr>
        <w:t>E. 6.2</w:t>
      </w:r>
    </w:p>
    <w:p>
      <w:r>
        <w:t>En l'espèce, le recourant, qui obtient gain de cause, sera mis au bénéfice d'une indemnité de CHF 2'700.-, plus TVA à 8%, pour l'acte de recours et l'écriture subséquente. Ce montant, correspondant à 6 heures d'activité à CHF 450.- l'heure, apparaît "juste" pour un recours de dix pages – dont trois sont consacrées à la page de garde, à la reproduction de la décision querellée et aux conclusions – et pour des observations de trois pages, dans une affaire dépourvue de complexité tant factuelle que juridique.</w:t>
      </w:r>
    </w:p>
    <w:p>
      <w:r>
        <w:rPr>
          <w:b/>
        </w:rPr>
        <w:t>E. 7</w:t>
      </w:r>
    </w:p>
    <w:p>
      <w:r>
        <w:t>Le prévenu, qui succombe, n'a pas droit à une indemnité de procédure. * * * * *</w:t>
      </w:r>
    </w:p>
    <w:p>
      <w:r>
        <w:t>- 13/13 - P/1603/2016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