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ACPR/797/2020 vom 12. November 2020</w:t>
      </w:r>
    </w:p>
    <w:p>
      <w:r>
        <w:t>GE Cour de justice, 2020-11-12, FR</w:t>
      </w:r>
    </w:p>
    <w:p>
      <w:r>
        <w:rPr>
          <w:b/>
        </w:rPr>
        <w:t xml:space="preserve">Quelle: </w:t>
      </w:r>
      <w:r>
        <w:t>https://mcp.opencaselaw.ch/entscheid/ge_gerichte_ACPR_797_2020</w:t>
      </w:r>
    </w:p>
    <w:p>
      <w:r>
        <w:t>FR: GE_GERICHTE ACPR/797/2020 du 12 novembre 2020</w:t>
      </w:r>
    </w:p>
    <w:p>
      <w:r>
        <w:t>IT: GE_GERICHTE ACPR/797/2020 del 12 novembre 2020</w:t>
      </w:r>
    </w:p>
    <w:p>
      <w:pPr>
        <w:pStyle w:val="Heading2"/>
      </w:pPr>
      <w:r>
        <w:t>Erwägungen</w:t>
      </w:r>
    </w:p>
    <w:p>
      <w:r>
        <w:rPr>
          <w:b/>
        </w:rPr>
        <w:t>E. 1</w:t>
      </w:r>
    </w:p>
    <w:p>
      <w:r>
        <w:t>Le recours pour déni de justice ou retard injustifié n'est soumis à aucun délai (art. 396 al. 2 CPP). Par ailleurs, le présent recours a été déposé selon la forme</w:t>
      </w:r>
    </w:p>
    <w:p>
      <w:r>
        <w:t>- 6/10 - P/631/2018 prescrite (art. 393 et 396 al. 1 CPP) et émane de la partie plaignante, qui a qualité pour agir, ayant un intérêt juridiquement protégé à obtenir une décision de l'instance sollicitée comme cela sera exposé ci-après (art. 104 al.1 let. b et 382 CPP). Partant, il est recevable.</w:t>
      </w:r>
    </w:p>
    <w:p>
      <w:r>
        <w:rPr>
          <w:b/>
        </w:rPr>
        <w:t>E. 2.1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w:t>
      </w:r>
    </w:p>
    <w:p>
      <w:r>
        <w:rPr>
          <w:b/>
        </w:rPr>
        <w:t>E. 2.2</w:t>
      </w:r>
    </w:p>
    <w:p>
      <w:r>
        <w:t>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Cette faculté n'est cependant pas toujours ouverte, en particulier lorsque le retard découle de résultats de commissions rogatoires à l'étranger (arrêts du Tribunal fédéral 1B_458/2012 du 25 novembre 2012 consid. 3.1; 1B_179/2009 du 24 novembre 2009 consid. 3.2 avant-dernier §, rendus en matière de séquestre).</w:t>
      </w:r>
    </w:p>
    <w:p>
      <w:r>
        <w:rPr>
          <w:b/>
        </w:rPr>
        <w:t>E. 2.3</w:t>
      </w:r>
    </w:p>
    <w:p>
      <w:r>
        <w:t>La nécessité d'une instruction complète l'emporte sur l'exigence de la célérité de la procédure (ATF 119 Ib 311 consid. 5 ; arrêt du Tribunal fédéral 6B_1059/2014 du 8 octobre 2015 consid. 3.1).</w:t>
      </w:r>
    </w:p>
    <w:p>
      <w:r>
        <w:t>- 7/10 - P/631/2018</w:t>
      </w:r>
    </w:p>
    <w:p>
      <w:r>
        <w:rPr>
          <w:b/>
        </w:rPr>
        <w:t>E. 2.4</w:t>
      </w:r>
    </w:p>
    <w:p>
      <w:r>
        <w:t>Pour pouvoir invoquer avec succès un retard injustifié à statuer, la partie doit être vainement intervenue auprès de l'autorité pénale pour que celle-ci statue à bref délai (arrêt du Tribunal fédéral 1B_24/2013 du 12 février 2013 et les références citées; ACPR/122/2013 du 28 mars 2013).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2.5</w:t>
      </w:r>
    </w:p>
    <w:p>
      <w:r>
        <w:t>En l'espèce, le Ministère public a requis l'entraide judiciaire aux autorités française, afin de faire entendre les mises en cause, moins de deux mois après avoir ouvert une instruction et un mois après l'arrêt de la Chambre de céans. Cette demande n'ayant pas été exécutée, le Ministère public a relancé lesdites autorités en avril 2019 et en juin 2020. Si ces relances n'ont certes pas été faites à un rythme particulièrement soutenu, elles ont été régulières. Peu importe, à cet égard, que le Ministère public ait agi à la suite des courriers du recourant. Force est de constater qu'il n'est pas resté inactif. Il n'apparaît, en outre, pas que d'autres actes d'instruction propres à élucider les faits eussent dû être effectués dans l'intervalle à Genève. En particulier, F______ n'ayant pas été présent lors des événements litigieux, il ne peut, en l'état, pas être reproché au Ministère public de ne pas avoir procédé à son audition. Au vu de ce qui précède, il apparaît que la durée de la procédure est uniquement le fait de l'absence de réponse des autorités françaises, ce malgré les relances du Ministère public. Aucune violation du principe de la célérité imputable au Ministère public genevois ne sera, dès lors, constatée. Vu le délai écoulé depuis l'ouverture de l'instruction et la dernière relance, le Ministère public sera néanmois invité à s'enquérir à nouveau auprès des autorités françaises du sort réservé à sa demande d'entraide et à agir sans retard dans la cause, une fois la demande d'entraide exécutée, voire, en cas d'absence de réponse, à en tirer les conséquences qui s'imposent pour la présente procédure. Les autres conclusions du recourant sont exorbitantes pour l'issue du litige en violation du principe de la célérité</w:t>
      </w:r>
    </w:p>
    <w:p>
      <w:r>
        <w:rPr>
          <w:b/>
        </w:rPr>
        <w:t>E. 3</w:t>
      </w:r>
    </w:p>
    <w:p>
      <w:r>
        <w:t>Infondé, le recours sera donc rejeté.</w:t>
      </w:r>
    </w:p>
    <w:p>
      <w:r>
        <w:t>- 8/10 - P/631/2018</w:t>
      </w:r>
    </w:p>
    <w:p>
      <w:r>
        <w:rPr>
          <w:b/>
        </w:rPr>
        <w:t>E. 4</w:t>
      </w:r>
    </w:p>
    <w:p>
      <w:r>
        <w:t>Le recourant demande le bénéfice de l'assistance judiciaire pour la procédure de recours.</w:t>
      </w:r>
    </w:p>
    <w:p>
      <w:r>
        <w:rPr>
          <w:b/>
        </w:rPr>
        <w:t>E. 4.1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ATF 120 Ia 43 consid. 2a).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ATF 133 III 614 consid. 5). La dispense de sûretés n'empêche pas que l'assistance judiciaire gratuite doive être refusée lorsque la cause du bénéficiaire s'avère d'emblée dénuée de chances de succès (ACPR/384/2019 du 22 mai 2019 consid. 6).</w:t>
      </w:r>
    </w:p>
    <w:p>
      <w:r>
        <w:rPr>
          <w:b/>
        </w:rPr>
        <w:t>E. 4.2</w:t>
      </w:r>
    </w:p>
    <w:p>
      <w:r>
        <w:t>En l'espèce, quand bien même le recourant est indigent, il a été jugé supra que ses griefs étaient juridiquement infondés. La requête ne peut dès lors qu'être rejetée.</w:t>
      </w:r>
    </w:p>
    <w:p>
      <w:r>
        <w:rPr>
          <w:b/>
        </w:rPr>
        <w:t>E. 5</w:t>
      </w:r>
    </w:p>
    <w:p>
      <w:r>
        <w:t>Le recourant, qui succombe, supportera les frais envers l'État, qui seront fixés en totalité à CHF 500.-, pour tenir compte de sa situation financière (art. 428 al. 1 CPP et 13 al. 1 du Règlement fixant le tarif des frais en matière pénale, RTFMP ; E 4 10.03).</w:t>
      </w:r>
    </w:p>
    <w:p>
      <w:r>
        <w:rPr>
          <w:b/>
        </w:rPr>
        <w:t>E. 6</w:t>
      </w:r>
    </w:p>
    <w:p>
      <w:r>
        <w:t>Le refus de l'assistance judiciaire sera, quant à lui, rendu sans frais (art. 20 RAJ; arrêt du Tribunal fédéral 6B_215/2018 du 14 juin 2018 consid. 1.2). * * * * *</w:t>
      </w:r>
    </w:p>
    <w:p>
      <w:r>
        <w:t>- 9/10 - P/631/2018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