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ACPR/796/2025 vom 22. Mai 2025</w:t>
      </w:r>
    </w:p>
    <w:p>
      <w:r>
        <w:t>GE Cour de justice, 2025-05-22, FR</w:t>
      </w:r>
    </w:p>
    <w:p>
      <w:r>
        <w:rPr>
          <w:b/>
        </w:rPr>
        <w:t xml:space="preserve">Quelle: </w:t>
      </w:r>
      <w:r>
        <w:t>https://mcp.opencaselaw.ch/entscheid/ge_gerichte_ACPR_796_2025</w:t>
      </w:r>
    </w:p>
    <w:p>
      <w:r>
        <w:t>FR: GE_GERICHTE ACPR/796/2025 du 22 mai 2025</w:t>
      </w:r>
    </w:p>
    <w:p>
      <w:r>
        <w:t>IT: GE_GERICHTE ACPR/796/2025 del 22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plaignantes qui, parties à la procédure (art. 104 al. 1 let. b CPP), ont qualité pour agir, ayant un intérêt juridiquement protégé à la modification ou à l'annulation de la décision querellée (art. 382 al. 1 CPP).</w:t>
      </w:r>
    </w:p>
    <w:p>
      <w:r>
        <w:rPr>
          <w:b/>
        </w:rPr>
        <w:t>E. 2</w:t>
      </w:r>
    </w:p>
    <w:p>
      <w:r>
        <w:t>Les recourantes reprochent au Ministère public d'avoir classé la procédure.</w:t>
      </w:r>
    </w:p>
    <w:p>
      <w:r>
        <w:t>- 10/17 - P/14536/2023</w:t>
      </w:r>
    </w:p>
    <w:p>
      <w:r>
        <w:rPr>
          <w:b/>
        </w:rPr>
        <w:t>E. 2.1</w:t>
      </w:r>
    </w:p>
    <w:p>
      <w:r>
        <w:t>En application de l'art. 319 al. 1 let. a CPP, le ministère public classe la procédure lorsqu'après la clôture de l'instruction (art. 318 al. 1 CPP), 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En effet, en cas de doute quant à la situation factuelle ou juridique, ce n'est pas à l'autorité d'instruction ou d'accusation mais au juge matériellement compétent qu'il appartient de se prononcer (ATF 143 IV 241 consid. 2.2.1; 138 IV 86 consid. 4.1.2 et les références citées).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Le principe "in dubio pro duriore" interdit ainsi au ministère public, respectivement à l'autorité de recours, confrontés à des preuves non claires, d'anticiper sur l'appréciation des preuves par le juge du fond. L'appréciation juridique des faits doit en effet être effectuée sur la base d'un état de fait établi en vertu du principe "in dubio pro duriore", soit sur la base de faits clairs (ATF 143 IV 241 consid. 2.3.2; arrêt du Tribunal fédéral 6B_127/2019 du 9 septembre 2019 consid. 4.1.2).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w:t>
      </w:r>
    </w:p>
    <w:p>
      <w:r>
        <w:t>- 11/17 - P/14536/2023 2.2.1. Selon l'art. 117 CP, est puni quiconque, par négligence, cause la mort d’une personne. L'art. 125 CP réprime quant à lui le comportement de quiconque, par négligence, fait subir à une personne une atteinte à l'intégrité corporelle ou à la santé. 2.2.2. Il y a négligence si, par une imprévoyance coupable, l'auteur agit sans se rendre compte des conséquences de son acte ou sans en tenir compte. L'imprévoyance est coupable quand l'auteur n'a pas usé des précautions commandées par les circonstances et par sa situation personnelle.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135 IV 56 consid. 2.1). La négligence suppose en premier lieu la violation d'un devoir de prudence, c'est-à-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La violation des devoirs de la prudence peut aussi être déduite des principes généraux, si aucune règle spéciale de sécurité n'a été violée (ATF 135 IV 56 consid. 2.1). L'attention et la diligence requises sont d'autant plus élevées que le degré de spécialisation de l'auteur est important (ATF 138 IV 124 consid. 4.4.5 et 136 IV 76 consid. 2.3.1). En second lieu, pour qu'il y ait négligence, la violation du devoir de prudence doit être fautive, c'est-à-dire qu'il faut pouvoir reprocher à l'auteur une inattention ou un manque d'effort blâmable (ATF 145 IV 154 consid. 2.1). 2.2.3. Une infraction de résultat, qui suppose en général une action, peut aussi être commise par omission si l'auteur est resté passif au mépris d'une obligation juridique qui lui commandait impérieusement d'agir pour éviter le résultat (cf. art. 11 al. 1 CP). Reste passif en violation d'une obligation d'agir celui qui n'empêche pas la mise en danger ou la lésion d'un bien juridique protégé par la loi pénale bien qu'il y soit tenu à</w:t>
      </w:r>
    </w:p>
    <w:p>
      <w:r>
        <w:t>- 12/17 - P/14536/2023 raison de sa situation juridique, notamment en vertu de la loi, d'un contrat, d'une communauté de risques librement consentie ou de la création d'un risque (al. 2). Celui qui reste passif en violation d'une obligation d'agir n'est punissable à raison de l'infraction considérée que si, compte tenu des circonstances, il encourt le même reproche que s'il avait commis cette infraction par un comportement actif (al. 3). Le juge peut atténuer la peine (al. 4).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148 IV 39 consid. 2.3.2; 141 IV 249 consid. 1.1). Une partie de la doctrine considère même que la création d'un risque autorisé ne ferait jamais naître une position de garant et exige que l'acte créant le danger soit illicite (cf. L. MOREILLON / A. MACALUSO / N. QUELOZ / N. DONGOIS (éds), Commentaire romand, Code pénal I, art. 1-110 CP, 2ème éd., Bâle 2021, n. 43 ad art. 11). 2.2.4. 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(ATF 143 III 242 consid. 3.7; 142 IV 237 consid. 1.5.1; 139 V 176 consid. 8.4.1).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131 IV 145 consid. 5.2). Pour examiner le lien de causalité dans le cas d'une violation du devoir de prudence par omission, il faut procéder par hypothèse et se demander si l'accomplissement de</w:t>
      </w:r>
    </w:p>
    <w:p>
      <w:r>
        <w:t>- 13/17 - P/14536/2023 l'acte omis aurait, selon le cours ordinaire des choses et l'expérience de la vie, évité la survenance du résultat qui s'est produit, pour des raisons en rapport avec le but protecteur de la règle de prudence violée (ATF 134 IV 255 consid. 4.4.1). 2.3.1. D'après l'art. 98 let. a CP, le point de départ de la prescription est le jour où l'auteur a exercé son activité coupable, non celui auquel se produit le résultat de cette dernière ou de la date de réalisation d'une condition objective. Il s'ensuit que des actes pénalement répréhensibles peuvent être atteints par la prescription avant qu'en survienne le résultat (ATF 134 IV 297 consid. 4.2 et les références citées). Pour les infractions commises par négligence, le début de la prescription coïncide donc avec le moment où l'auteur a agi contrairement à ses devoirs de prudence ou, en cas de délit d'omission improprement dit, à partir du moment où le garant aurait dû agir; si ce devoir est durable, la prescription ne commence à courir qu'à partir du moment où les obligations du garant prennent fin (ATF 122 IV 61 consid. 2a/aa; arrêts du Tribunal fédéral 6B_315/2016 du 1er novembre 2016 consid. 2.2 et 6B_90/2014 du 20 janvier 2015 consid. 6.2). 2.3.2. L'art. 102 al. 1 CP prévoit qu'un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On distingue ainsi la responsabilité subsidiaire (art. 102 al. 1 CP) et primaire (art. 102 al. 2 CP) de l'entreprise. La responsabilité subsidiaire de l'entreprise est engagée à condition qu'il existe un déficit dans l'organisation qui a pour conséquence d'empêcher l'imputation de l'acte à son auteur, qui peut ne pas être déterminé. La responsabilité primaire de l'entreprise est engagée lorsque la désorganisation de l'entreprise entraîne une infraction mentionnée à l'alinéa 2. La distinction entre ces deux alinéas réside dans le fait que, dans le cas de la responsabilité primaire de l'entreprise, un individu peut également être poursuivi, ce qui ne peut pas être le cas en matière de responsabilité subsidiaire. 2.4.1. En l'espèce, la position de garant de la Fondation ne semble contestée ni par le Ministère public ni par la Fondation, la question n'étant pas même discutée dans leurs observations. 2.4.2. Est en revanche discutée la question de l'existence ou non d'une obturation entre le sous-sol et les étages au niveau du limon des escaliers. L'absence ou non d'obturation des escaliers au moment des faits n'est pas établie. Il semblerait cependant qu'une telle obturation n'existait pas au moment de la</w:t>
      </w:r>
    </w:p>
    <w:p>
      <w:r>
        <w:t>- 14/17 - P/14536/2023 construction de l'immeuble. La Fondation n'a par ailleurs trouvé aucune trace de travaux récents à ce sujet. Il apparaît que certaines allées ont été mises aux normes en la matière et d'autres pas, sans qu'aucune logique ne permette de comprendre pourquoi. Certes, le concierge, interrogé par l'expert, a indiqué que l'espace situé au niveau du limon de l'escalier présentait un vide, mais ses déclarations ont été recueillies hors du cadre de la procédure. Le témoin M______ a, quant à lui, relevé qu'une éventuelle obturation, qui n'était pas présente après les faits, aurait pu se rompre avec la chaleur de l'incendie. Cette thèse semble corroborée par l'expertise en tant qu'elle conclut que les obturations coupe-feu, selon le matériau utilisé, pouvaient ne pas résister à des fumées à haute température. Partant, compte tenu de la durée pendant laquelle le feu avait couvé dans la cave avant de monter dans les étages et de la fumée noire sous pression décrite comme "brûlante et écrasante" par les pompiers, il ne peut être établi que l'obturation des escaliers, si elle avait existé, aurait résisté à l'incendie et que le décès des deux victimes ne se serait pas produit. 2.4.3. La question des caractéristiques des portes palières et des portes situées au niveau des coursives ne paraît quant à elle pas pertinente au vu de la localisation de l'incendie, de l'étage où vivaient les deux victimes et du lieu où elles ont été retrouvées inanimées. 2.4.4. Quand bien même on admettrait une absence d'obturation entre le sous-sol et les étages, reste à déterminer si la Fondation avait une obligation d'agir afin de mettre l'immeuble en conformité. Il sera retenu qu'il n'existait pas d'obligation générale pour la Fondation de mettre son immeuble aux normes incendie. Il est de même acquis qu'aucuns travaux d'importance n'ont eu lieu dans l'immeuble depuis sa construction, en particulier pas dans sa cage d'escalier. La question ne peut dès lors être examinée que sous l'angle du danger particulièrement important pour les personnes. Or, il ne ressort pas du dossier qu'une demande de mise aux normes et de renforcement de la sécurité incendie aurait été adressée à la Fondation avant les faits, ni, au demeurant, à aucun autre propriétaire dont l'immeuble aurait présenté une absence d'obturation. Il appert d'ailleurs que les contrôles qui étaient régulièrement effectués par les sapeurs-pompiers volontaires ou professionnels avaient porté sur la colonne sèche, l'éclairage de secours et la disponibilité des portes de secours, et donc pas sur l'interstice sur le limon des escaliers.</w:t>
      </w:r>
    </w:p>
    <w:p>
      <w:r>
        <w:t>- 15/17 - P/14536/2023 Interrogé, l'expert a livré une réponse non univoque à cet égard, affirmant que le défaut d'obturation pouvait a posteriori être considéré comme créant un danger particulièrement important, indiquant cependant sans ambiguïté qu'il n'avait pas été considéré comme tel avant les faits. Qu'une demande "urgente" ait bien été adressée à la Fondation après l'incendie, et que l'obturation requise aurait alors effectivement été posée, n'est pas déterminant. En effet, le fait que la problématique ait été réglée par la suite ne signifie pas qu'un danger manifeste existait préalablement aux faits, ni qu'il aurait alors pu être considéré comme tel. En tous les cas, aucun autre élément au dossier ne permet de considérer qu'un danger aurait été considéré comme "particulièrement important" avant que l'incendie du 5 juillet 2023 n'ait eu lieu. Le fait que, selon l'expert, l'autorité compétente n'était pas intervenue, 18 mois après les faits, pour faire fermer cet espace dans les immeubles où il serait encore présent appuie du reste ce constat. 2.4.5. Il découle de ce qui précède qu'un lien de causalité adéquate entre un éventuel manquement de la Fondation et le décès des deux victimes fait défaut. Aucun acte d'enquête complémentaire n'apparait par ailleurs apte à modifier cette appréciation.</w:t>
      </w:r>
    </w:p>
    <w:p>
      <w:r>
        <w:rPr>
          <w:b/>
        </w:rPr>
        <w:t>E. 3</w:t>
      </w:r>
    </w:p>
    <w:p>
      <w:r>
        <w:t>Le recours sera dès lors rejeté et l'ordonnance querellée confirmée.</w:t>
      </w:r>
    </w:p>
    <w:p>
      <w:r>
        <w:rPr>
          <w:b/>
        </w:rPr>
        <w:t>E. 4</w:t>
      </w:r>
    </w:p>
    <w:p>
      <w:r>
        <w:t>Les recourantes, qui succombent, supporteront les frais envers l'État, qui seront fixés en totalité à CHF 1'000.- (art. 428 al. 1 CPP et 13 al. 1 du Règlement fixant le tarif des frais en matière pénale, RTFMP ; E 4 10.03).</w:t>
      </w:r>
    </w:p>
    <w:p>
      <w:r>
        <w:rPr>
          <w:b/>
        </w:rPr>
        <w:t>E. 5</w:t>
      </w:r>
    </w:p>
    <w:p>
      <w:r>
        <w:t>Corrélativement, aucun dépens ne leur sera alloué (ATF 144 IV 207 consid. 1.8.2).</w:t>
      </w:r>
    </w:p>
    <w:p>
      <w:r>
        <w:rPr>
          <w:b/>
        </w:rPr>
        <w:t>E. 6</w:t>
      </w:r>
    </w:p>
    <w:p>
      <w:r>
        <w:t>La Fondation, qui a le statut de personne appelée à donner des renseignements, et à laquelle des observations ont été demandées, a droit à des dépens (art. 434 CPP). Ceux-ci seront arrêtés à CHF 1'945.80, TVA comprise, correspondant à 4 heures de travail à CHF 450.- de l'heure, temps suffisant pour la rédaction d'observations tenant sur 9 pages (hors page de garde, conclusions et page de signature) dont 3 et demi de rappel des faits, et mis à la charge de l'État (ATF 147 IV 47 consid. 4.2.5 et 4.2.6). * * * * *</w:t>
      </w:r>
    </w:p>
    <w:p>
      <w:r>
        <w:t>- 16/17 - P/14536/2023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