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ACPR/795/2020 vom 15. Mai 2020</w:t>
      </w:r>
    </w:p>
    <w:p>
      <w:r>
        <w:t>GE Cour de justice, 2020-05-15, FR</w:t>
      </w:r>
    </w:p>
    <w:p>
      <w:r>
        <w:rPr>
          <w:b/>
        </w:rPr>
        <w:t xml:space="preserve">Quelle: </w:t>
      </w:r>
      <w:r>
        <w:t>https://mcp.opencaselaw.ch/entscheid/ge_gerichte_ACPR_795_2020</w:t>
      </w:r>
    </w:p>
    <w:p>
      <w:r>
        <w:t>FR: GE_GERICHTE ACPR/795/2020 du 15 mai 2020</w:t>
      </w:r>
    </w:p>
    <w:p>
      <w:r>
        <w:t>IT: GE_GERICHTE ACPR/795/2020 del 15 maggio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considère que la compétence des autorités de poursuite pénales genevoises est donnée s'agissant des infractions dénoncées, et que l'ordonnance de non-entrée en matière ne se justifiait pas.</w:t>
      </w:r>
    </w:p>
    <w:p>
      <w:r>
        <w:rPr>
          <w:b/>
        </w:rPr>
        <w:t>E. 2.1</w:t>
      </w:r>
    </w:p>
    <w:p>
      <w:r>
        <w:t>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qui y voit une condition à l'ouverture de l'action pénale).</w:t>
      </w:r>
    </w:p>
    <w:p>
      <w:r>
        <w:rPr>
          <w:b/>
        </w:rPr>
        <w:t>E. 2.3</w:t>
      </w:r>
    </w:p>
    <w:p>
      <w:r>
        <w:t>Aux termes de l'art. 3 al. 1 CP, le Code pénal suisse est applicable à quiconque commet un crime ou un délit en Suisse. En application de l'art. 8 al. 1 CP, un crime où un délit est réputé commis tant au lieu où l'auteur a agi ou aurait dû agir qu'au lieu où le résultat s'est produit. Le lieu où l'auteur a agi ou aurait dû agir est un lieu où il a réalisé l'un des éléments constitutifs de l'infraction. Il suffit qu'il réalise une partie -</w:t>
      </w:r>
    </w:p>
    <w:p>
      <w:r>
        <w:t>- 6/8 - P/2969/2018 voire un seul - des actes constitutifs sur le territoire suisse (ATF 144 IV 265 consid. 2..7. ; 141 IV 205 consid. 5.2).</w:t>
      </w:r>
    </w:p>
    <w:p>
      <w:r>
        <w:rPr>
          <w:b/>
        </w:rPr>
        <w:t>E. 2.4</w:t>
      </w:r>
    </w:p>
    <w:p>
      <w:r>
        <w:t>En matière d'escroquerie (art. 146 CP), le Tribunal fédéral a considéré que cette infraction était un délit matériel à double résultat: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 L'appauvrissement se produit au lieu où se situent les valeurs patrimoniales dont se dessaisit la dupe, soit, cas échéant, au siège de la banque auprès de laquelle celle-ci possède les avoirs en question (A. DYENS, Territorialité et ubiquité en droit pénal international suisse, Bâle 2014, p. 915 et ss). À côté du lieu d'appauvrissement de la victime ou de celui de l'enrichissement de l'auteur figurent également le lieu de survenance de l'erreur, soit celui où la dupe est amenée à se forger une représentation erronée de la situation de fait (A. DYENS, op.cit., p. 282), et le lieu où se trouve l'auteur au moment où il réalise la tromperie astucieuse (arrêt du Tribunal fédéral 6B_635/2018 du 24 octobre 2018 consid. 2.1.3). 2.5.1. En l'espèce, le Ministère public considère que le seul lien avec la Suisse était le domicile du recourant et que celui-ci n'est pas suffisant pour créer un for dans ce pays, de sorte qu'il existerait un empêchement de procéder. Ce raisonnement ne saurait être suivi. En l'occurrence, il ressort des éléments du dossier que le recourant est domicilié en Suisse et que les fonds, dont il s'est dessaisi, étaient déposés sur un compte ouvert auprès de la banque F______, à Genève. La cause s'apparente, qui plus est, à une "problématique internationale". Dans ces circonstances, le préjudice, soit l'appauvrissement du recourant, a bel et bien eu lieu en Suisse. En outre, il apparaît que ce dernier a correspondu avec le dénommé E______ (échanges de messages électroniques et transmission de documents relatifs à l'emprunt litigieux) depuis Genève, de sorte que la tromperie s'y serait également matérialisée. Ainsi, les autorités suisses, en particulier genevoises, sont compétentes pour conduire une instruction s'agissant des infractions dénoncées. Le fait que le ou les auteur(s) de celles-ci se trouvent à l'étranger n'est pas susceptible de modifier cette compétence.</w:t>
      </w:r>
    </w:p>
    <w:p>
      <w:r>
        <w:t>- 7/8 - P/2969/2018 Ce grief sera dès lors admis. 2.5.2. Le Ministère public retient également que le ou les auteur(s) des faits dénoncés n'ont pas pu être formellement identifiés et constate qu'il ne dispose d'aucun élément susceptible d'orienter ses soupçons sur une ou des personnes déterminées. Certes, le ou les auteur(s) de cette infraction demeurent, en l'état, inconnu(s). Si aucun acte d'instruction en Suisse ne semble propre à faire progresser l'enquête, l'envoi d'une commission rogatoire en France, aux fins de localiser et d'entendre le dénommé I______, titulaire du compte ouvert auprès de la Banque N______, sur lequel le recourant a versé des fonds, constitue une démarche adaptée aux circonstances et proportionnée. Il apparaît, en outre, que les coordonnées du dénommé E______ (numéro de téléphone français et adresse électronique) n'ont pas été exploitées en vue de le localiser et, a fortiori, de l'entendre. Par ailleurs, il ressort du rapport de renseignements de la police du 20 novembre 2019 que seuls H______ et G______ – dont les déclarations n'ont, au demeurant, pas été traduites et, partant, étudiées – ont été entendus par la police belge. Or, l'audition du dénommé "I______" – dont les coordonnées téléphoniques figurent également à la procédure – serait de nature à permettre de récolter des éléments probants. En l'absence de recherche en lien avec ces éléments, le raisonnement de l'autorité précédente ne saurait, dès lors, être suivi. Ainsi, il n'existe, en l'état, aucun empêchement de procéder, ni d’autres motifs autorisant une non-entrée en matière. Il appartiendra dès lors au Ministère public d'entreprendre les actes d'instruction qu'il estimera nécessaires en vue d'identifier le ou les auteur(s) de l'infraction.</w:t>
      </w:r>
    </w:p>
    <w:p>
      <w:r>
        <w:rPr>
          <w:b/>
        </w:rPr>
        <w:t>E. 3</w:t>
      </w:r>
    </w:p>
    <w:p>
      <w:r>
        <w:t>Fondé, le recours doit être admis ; partant, l'ordonnance querellée sera annulée et la cause renvoyée au Ministère public pour instruction.</w:t>
      </w:r>
    </w:p>
    <w:p>
      <w:r>
        <w:rPr>
          <w:b/>
        </w:rPr>
        <w:t>E. 4</w:t>
      </w:r>
    </w:p>
    <w:p>
      <w:r>
        <w:t>L'admission du recours ne donne pas lieu à la perception de frais (art. 428 al. 1 CPP).</w:t>
      </w:r>
    </w:p>
    <w:p>
      <w:r>
        <w:rPr>
          <w:b/>
        </w:rPr>
        <w:t>E. 5</w:t>
      </w:r>
    </w:p>
    <w:p>
      <w:r>
        <w:t>Le recourant, partie plaignante, qui obtient gain de cause, a sollicité une indemnité qu'il a chiffrée à CHF 1'000.- pour ses frais de défense occasionnés par la procédure de recours. Ce montant apparaît adéquat eu égard aux critères régissant sa fixation et sera dès lors mis à charge de l'État. * * * * *</w:t>
      </w:r>
    </w:p>
    <w:p>
      <w:r>
        <w:t>- 8/8 - P/2969/2018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