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ACPR/794/2019 vom 17. Juni 2019</w:t>
      </w:r>
    </w:p>
    <w:p>
      <w:r>
        <w:t>GE Cour de justice, 2019-06-17, FR</w:t>
      </w:r>
    </w:p>
    <w:p>
      <w:r>
        <w:rPr>
          <w:b/>
        </w:rPr>
        <w:t xml:space="preserve">Quelle: </w:t>
      </w:r>
      <w:r>
        <w:t>https://mcp.opencaselaw.ch/entscheid/ge_gerichte_ACPR_794_2019</w:t>
      </w:r>
    </w:p>
    <w:p>
      <w:r>
        <w:t>FR: GE_GERICHTE ACPR/794/2019 du 17 juin 2019</w:t>
      </w:r>
    </w:p>
    <w:p>
      <w:r>
        <w:t>IT: GE_GERICHTE ACPR/794/2019 del 17 giugno 2019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al.1 et 396 al.1 CPP) – les formalités de l'art. 85 al. 2 CPP n'ayant pas été observées – et concerne une ordonnance sujette à recours auprès de la Chambre de céans (art. 393 al.1 let. a CPP).</w:t>
      </w:r>
    </w:p>
    <w:p>
      <w:r>
        <w:rPr>
          <w:b/>
        </w:rPr>
        <w:t>E. 3</w:t>
      </w:r>
    </w:p>
    <w:p>
      <w:r>
        <w:t>CPP), dont la communication de l'ordonnance querellée tenait lieu. Son recours est donc irrecevable au regard des chefs d'infractions aux art. 139, 146 et 156 CP. 3.2.2. Le recourant se plaint d'un défaut de vigilance en matière d'opérations financières (art. 305ter CP). Or, cette disposition protège exclusivement l'administration de la justice, à l'exclusion d'éventuels intérêts patrimoniaux individuels (arrêt du Tribunal fédéral 6B_500/2017 du 20 septembre 2017 consid. 2.3 et les références citées). Il en résulte que le recourant ne peut pas prétendre avoir été atteint directement dans ses droits, cette norme n'ayant pas pour but de protéger ses propres intérêts. Il ne saurait, dès lors, en déduire un droit subjectif, au sens de l'art. 382 al. 1 CPP, de sorte que son recours est également irrecevable sous cet angle. 3.2.3. Il en va de même pour la violation alléguée de l'art. 251 CP. L'art. 251 CP protège, en tant que bien juridique, d'une part, la confiance particulière placée dans un titre ayant valeur probante dans les rapports juridiques et, d'autre part, la loyauté dans les relations commerciales (ATF 129 IV 53 consid. 3.2). Comme telle, la disposition vise d'abord un bien juridique collectif. Toutefois, le faux dans les titres peut également porter atteinte à des intérêts individuels. Une personne peut donc être considérée comme lésée par un faux dans les titres lorsque le faux vise précisément à lui nuire (ATF 140 IV 155 consid. 3.3.3 p. 159). En l'espèce, le recourant n'est nullement lésé par l'accusation qu'il porte contre l'intimée. En effet, même à le suivre, soit à supposer que le formulaire ADE remis au bureau de change soit un faux, celui-ci n'aurait pas pu lui nuire mais tromper le cocontractant auquel il était destiné, soit la société mise en cause. Faute d'être lésé, le recourant ne dispose pas de la qualité de partie plaignante au regard de cette infraction, et partant de la qualité pour recourir. Son recours est donc irrecevable au regard de cette infraction. Il est, en revanche, recevable s'agissant de l'infraction visée par l'art. 181 CP.</w:t>
      </w:r>
    </w:p>
    <w:p>
      <w:r>
        <w:rPr>
          <w:b/>
        </w:rPr>
        <w:t>E. 3.1</w:t>
      </w:r>
    </w:p>
    <w:p>
      <w:r>
        <w:t>Le recourant, quel qu'il soit, doit être directement atteint dans ses droits et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Bâle 2011, n. 2 ad art. 382 CPP). Est lésé, celui qui est atteint directement dans ses droits par l'infraction (art. 115 al. 1 CPP). Lorsque la norme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(ATF 139 IV 78 consid. 3.3.3 p. 81 ss ; 138 IV 258 consid. 2.2 et 2.3). Il suffit, dans la règle, que le bien juridique individuel dont le lésé invoque l'atteinte soit protégé secondairement ou accessoirement, même si la norme protège en première ligne des biens juridiques collectifs. En revanche, celui dont les intérêts privés ne sont atteints qu'indirectement par une infraction qui ne lèse que des intérêts publics, n'est pas lésé au sens du droit de procédure pénale (ATF 141 IV 454 consid. 2.3.1., arrêt du Tribunal fédéral 6B_531/2016 du 5 mai 2017 consid. 3.1. et les références citées).</w:t>
      </w:r>
    </w:p>
    <w:p>
      <w:r>
        <w:t>- 5/10 - P/12283/2019 3.2.1 En l'occurrence, le recourant n'a aucun intérêt juridiquement protégé à recourir contre le refus de poursuivre d'éventuelles infractions contre le patrimoine de ses parents. Il revêt tout au plus la qualité de dénonciateur et comme tel, n'avait pas d'autre droit que d'être informé des suites réservées à sa dénonciation (art. 301 al. 2 et</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w:t>
      </w:r>
    </w:p>
    <w:p>
      <w:r>
        <w:t>- 6/10 - P/12283/2019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w:t>
      </w:r>
    </w:p>
    <w:p>
      <w:r>
        <w:rPr>
          <w:b/>
        </w:rPr>
        <w:t>E. 4.2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p. 448; 106 IV 125 consid. 2a p. 128) ni que l'auteur ait réellement la volonté de réaliser sa menace (ATF 105 IV 120 consid. 2a p. 122). La</w:t>
      </w:r>
    </w:p>
    <w:p>
      <w:r>
        <w:t>- 7/10 - P/12283/2019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p. 325; 120 IV 17 consid. 2a/aa p. 19).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137 IV 326 consid. 3.3.1 p. 328; 134 IV 216 consid. 4.1 p. 218). Ainsi, menacer autrui d'une plainte pénale pour une infraction que rien ne permet sérieusement de soupçonner est un moyen en soi inadmissible.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p. 20; arrêt du Tribunal fédéral 6B_172/2019 du 5 juillet 2019 consid. 2.3).</w:t>
      </w:r>
    </w:p>
    <w:p>
      <w:r>
        <w:rPr>
          <w:b/>
        </w:rPr>
        <w:t>E. 4.3</w:t>
      </w:r>
    </w:p>
    <w:p>
      <w:r>
        <w:t>En l'espèce, le recourant s'est rendu auprès du bureau de change B______ afin de convertir une somme de CHF 6'000.- en euros. Cette opération de change, supérieure à CHF 5'000.-, était soumise à la loi sur le blanchiment d'argent (Art. 4 al. 1 let. a à c LBA et art. 12 al. 1 et 18 al. 1 OBA-FINMA). Il ressort des pièces produites au dossier qu'il a signé le formulaire ADE qui lui a été présenté à cette occasion. Certes, le recourant soutient que la signature dudit formulaire serait intervenue sous la contrainte, l'agent l'ayant menacé de ne pas lui restituer la somme confiée, en cas de refus de signer le formulaire en question. Il sied néanmoins de relever que l'identification de l'ayant droit économique constitue une obligation légale, de sorte qu'elle ne saurait être considérée comme un moyen de pression illicite, et assimilée à un acte de violence au sens de l'art. 181 CP ou de réelle intimidation. Le recourant n'explicite, d'ailleurs, en aucune manière de quelle sorte de violence ou menace aurait usé l'agent pour l'obliger à signer ledit formulaire. Par conséquent, les éléments constitutifs d'une infraction ne sont manifestement pas remplis et les probabilités d'un acquittement sont largement supérieures à celle d'une condamnation. Aucune mesure d'instruction pertinente ne paraît à même de modifier ce constat. C'est donc à bon droit que le Ministère public a renoncé à entrer en matière.</w:t>
      </w:r>
    </w:p>
    <w:p>
      <w:r>
        <w:rPr>
          <w:b/>
        </w:rPr>
        <w:t>E. 5</w:t>
      </w:r>
    </w:p>
    <w:p>
      <w:r>
        <w:t>Le recourant se plaint d'une violation des art. 3 et 6 CEDH.</w:t>
      </w:r>
    </w:p>
    <w:p>
      <w:r>
        <w:t>- 8/10 - P/12283/2019 Force est néanmoins de constater que la pertinence des dispositions alléguées ne s'impose pas in casu, les principes invoqués ne fondant pas la prévention d'une infraction. Infondé, le grief sera dès lors rejeté.</w:t>
      </w:r>
    </w:p>
    <w:p>
      <w:r>
        <w:rPr>
          <w:b/>
        </w:rPr>
        <w:t>E. 6</w:t>
      </w:r>
    </w:p>
    <w:p>
      <w:r>
        <w:t>Justifiée, l'ordonnance querellée sera donc confirmée.</w:t>
      </w:r>
    </w:p>
    <w:p>
      <w:r>
        <w:rPr>
          <w:b/>
        </w:rPr>
        <w:t>E. 7</w:t>
      </w:r>
    </w:p>
    <w:p>
      <w:r>
        <w:t>Le recourant, qui succombe, a sollicité d'être mis au bénéfice de l'assistance judiciaire.</w:t>
      </w:r>
    </w:p>
    <w:p>
      <w:r>
        <w:rPr>
          <w:b/>
        </w:rPr>
        <w:t>E. 7.1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7.2</w:t>
      </w:r>
    </w:p>
    <w:p>
      <w:r>
        <w:t>En l'espèce, quand bien même le recourant serait indigent, il a été jugé supra que ses griefs étaient juridiquement infondés ou irrecevables. La requête ne peut dès lors qu'être rejetée.</w:t>
      </w:r>
    </w:p>
    <w:p>
      <w:r>
        <w:rPr>
          <w:b/>
        </w:rPr>
        <w:t>E. 8</w:t>
      </w:r>
    </w:p>
    <w:p>
      <w:r>
        <w:t>Le recourant, qui succombe, supportera les frais envers l'État, qui seront arrêtés à CHF 900.- (art. 428 al. 1 CPP et 13 al. 1 du Règlement fixant le tarif des frais en matière pénale, RTFMP ; E 4 10.03). Le refus de l'assistance judiciaire sera, quant à lui, rendu sans frais (art. 20 RAJ; arrêt du Tribunal fédéral 6B_215/2018 du 14 juin 2018 consid. 1.2).</w:t>
      </w:r>
    </w:p>
    <w:p>
      <w:r>
        <w:t>* * * * *</w:t>
      </w:r>
    </w:p>
    <w:p>
      <w:r>
        <w:t>- 9/10 - P/12283/2019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