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ACPR/791/2022 vom 22. September 2022</w:t>
      </w:r>
    </w:p>
    <w:p>
      <w:r>
        <w:t>GE Cour de justice, 2022-09-22, FR</w:t>
      </w:r>
    </w:p>
    <w:p>
      <w:r>
        <w:rPr>
          <w:b/>
        </w:rPr>
        <w:t xml:space="preserve">Quelle: </w:t>
      </w:r>
      <w:r>
        <w:t>https://mcp.opencaselaw.ch/entscheid/ge_gerichte_ACPR_791_2022</w:t>
      </w:r>
    </w:p>
    <w:p>
      <w:r>
        <w:t>FR: GE_GERICHTE ACPR/791/2022 du 22 septembre 2022</w:t>
      </w:r>
    </w:p>
    <w:p>
      <w:r>
        <w:t>IT: GE_GERICHTE ACPR/791/2022 del 22 settembre 2022</w:t>
      </w:r>
    </w:p>
    <w:p>
      <w:pPr>
        <w:pStyle w:val="Heading2"/>
      </w:pPr>
      <w:r>
        <w:t>Erwägungen</w:t>
      </w:r>
    </w:p>
    <w:p>
      <w:r>
        <w:rPr>
          <w:b/>
        </w:rPr>
        <w:t>E. 1</w:t>
      </w:r>
    </w:p>
    <w:p>
      <w:r>
        <w:t>Les recours sont recevables pour avoir été déposés selon la forme et – faute de date de notification établie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Leur jonction s’impose en raison de leur connexité.</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Dans la mesure où la recourante invoque une violation de domicile qui aurait eu lieu en mars 2022, sa plainte apparaît tardive (art. 31 et 144 CP). Quoi qu’il en soit, la recourante n’indique pas quelle mesure concrète eût dû prendre le Ministère public pour chercher à en identifier l’auteur. Ces deux circonstances, la tardiveté et l’impossibilité d’identifier un auteur, sont autant de motifs de non-entrée en matière,</w:t>
      </w:r>
    </w:p>
    <w:p>
      <w:r>
        <w:t>- 4/8 - P/13869/2022 au sens de l’art. 310 al. 1 CPP (empêchement de procéder dans un cas, condition manquant pour ouvrir une poursuite pénale dans l’autre).</w:t>
      </w:r>
    </w:p>
    <w:p>
      <w:r>
        <w:rPr>
          <w:b/>
        </w:rPr>
        <w:t>E. 5</w:t>
      </w:r>
    </w:p>
    <w:p>
      <w:r>
        <w:t>La recourante se plaint d’une application erronée du principe ne bis in idem par le Ministère public.</w:t>
      </w:r>
    </w:p>
    <w:p>
      <w:r>
        <w:rPr>
          <w:b/>
        </w:rPr>
        <w:t>E. 5.1</w:t>
      </w:r>
    </w:p>
    <w:p>
      <w:r>
        <w:t>Selon l’art. 310 al. 1 let. b CPP, le ministère public rend immédiatement une ordonnance de non-entrée en matière s’il ressort de la dénonciation ou du rapport de police qu’il existe un empêchement de procéder. La chose jugée en est un, en tout cas en l'absence de faits nouveaux, au sens de l'art. 323 CPP (Y. JEANNERET / A. KUHN / C. PERRIER DEPEURSINGE (éds), Commentaire romand : Code de procédure pénale suisse, 2ème éd., Bâle 2019, n. 17 ad art. 310).</w:t>
      </w:r>
    </w:p>
    <w:p>
      <w:r>
        <w:rPr>
          <w:b/>
        </w:rPr>
        <w:t>E. 5.2</w:t>
      </w:r>
    </w:p>
    <w:p>
      <w:r>
        <w:t>Le ministère public doit procéder à une reprise de la poursuite au sens de l'art. 323 CPP, et non à l'ouverture d'une procédure distincte, lorsque les faits dont il est nouvellement saisi sont identiques à ceux préalablement dénoncés. La qualification juridique desdits faits n'est, en revanche, pas déterminante (op. cit., n. 14 et n. 23 ad art. 323). L'art. 323 al. 1 CPP énonce deux conditions cumulatives (ATF 141 IV 194 consid. 2.3 p. 197) qui restreignent le champ d'application de cette forme de révision. Ces deux conditions sont cependant moins sévères après une non-entrée en matière qu'après un classement (ATF 141 IV 194 consid. 2.3 p. 199). Par conséquent, l'ordonnance de non-entrée en matière bénéficie d'une autorité de chose jugée plus limitée encore que celle, déjà réputée restreinte, de l'ordonnance de classement (ATF 144 IV 81 consid. 2.3.5 p. 88). Le fait est nouveau si l'autorité n'a pas pu en avoir connaissance. L'art. 323 al. 1 CPP assimile à la connaissance concrète les situations dans lesquelles il existait déjà dans le dossier des éléments se référant au fait (A. KUHN/ Y. JEANNERET/ C. PERRIER DEPEURSINGE (éds), Commentaire romand : Code de procédure pénale suisse, 2e éd., Bâle 2019, n. 20 ad art. 323). Ainsi, des moyens de preuves qui ont été cités voire administrés dans le cadre de la procédure antérieure sans être toutefois complètement exploités, ne peuvent pas être considérés comme étant nouveaux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Les faits ou moyens de preuve nouveaux doivent remettre en cause les certitudes que le ministère public devait être à même d'afficher pour rendre une telle décision et, simultanément, fonder des soupçons suffisants laissant présumer qu'une infraction a</w:t>
      </w:r>
    </w:p>
    <w:p>
      <w:r>
        <w:t>- 5/8 - P/13869/2022 été commise (arrêt du Tribunal fédéral 6B_1153/2016 du 23 janvier 2018 consid. 3.2 in fine, non publié aux ATF 144 IV 81).</w:t>
      </w:r>
    </w:p>
    <w:p>
      <w:r>
        <w:rPr>
          <w:b/>
        </w:rPr>
        <w:t>E. 5.3</w:t>
      </w:r>
    </w:p>
    <w:p>
      <w:r>
        <w:t>En l'espèce, la recourante estime avoir dénoncé pénalement des faits qui n’ont pas été déjà traités dans la précédente ordonnance de non-entrée en matière ni dans la précédente décision de la Chambre de céans, au motif que des travaux de rénovation ont été autorisés, et entrepris, par la suite dans son immeuble, soit dès la fin de l’année 2021. Ce faisant, elle s’oppose à une contradiction irréductible, en ce sens qu’on ne voit pas comment des travaux qui n’ont pour autre finalité que l’assainissement de l’immeuble dans lequel elle réside reviendraient à perpétuer l’état général d’insalubrité, les miasmes et les dégradations dont elle s’est plainte par le passé. La mise en œuvre de ces travaux tend à montrer que ses doléances n’ont pas été ignorées. Si certaines de ses photos des lieux – dont rien ne permet de les rattacher à son logement – comportent des dates postérieures aux dernières décisions des autorités pénales, force est d’observer, toutefois, qu’elles ne montrent, pour les unes, que des indices de travaux en cours ou, pour les autres, que des murs, chambranles, fenêtres, plafonds, etc. qui ne sont pas ou pas encore assainis, rafraîchis ou réparés. D’ailleurs, la recourante ne prétend pas que la réfection de l’immeuble (ou de son appartement en particulier) serait terminée et que ses photos en représenteraient le résultat, illicite et dangereux pour autrui. Pour le surplus, la recourante produit des analyses toxicologiques officielles dont la plupart sont antérieures à sa plainte pénale précédente et qui, comme telles, pouvaient à bon droit se voir opposer le principe ne bis in idem. La synthèse de ses analyses sanguines entre l’été 2019 et le mois de janvier 2022 (pièce 91) n’y change rien : ce tableau, de sa main, récapitule des données qui ne sont mises en relation de causalité ni avec une dégradation, concrète et médicalement constatée, de sa santé ni avec des nuisances dues aux travaux engagés à fin 2021. Ainsi, le certificat médical du 8 juin 2022 (pièce 99) constate explicitement que l’origine des légères élévations de certaines valeurs de métaux lourds constatées chez la recourante ne peut être déterminée.</w:t>
      </w:r>
    </w:p>
    <w:p>
      <w:r>
        <w:rPr>
          <w:b/>
        </w:rPr>
        <w:t>E. 6</w:t>
      </w:r>
    </w:p>
    <w:p>
      <w:r>
        <w:t>Faute de faits nouveaux ou d’indices d’infractions nouvellement commises, l'ordonnance de non-entrée en matière sera confirmée.</w:t>
      </w:r>
    </w:p>
    <w:p>
      <w:r>
        <w:rPr>
          <w:b/>
        </w:rPr>
        <w:t>E. 7</w:t>
      </w:r>
    </w:p>
    <w:p>
      <w:r>
        <w:t>Pour le même motif, le recours exercé sur ce point apparaît dénué de chances de succès. L’assistance judiciaire ne peut donc être accordée pour la présente instance (cf. ACPR/709/2021 et ACPR/324/2019, précités). En effet, l'octroi de l'assistance judiciaire gratuite est subordonné aux chances de succès dans la cause de celui qui</w:t>
      </w:r>
    </w:p>
    <w:p>
      <w:r>
        <w:t>- 6/8 - P/13869/2022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w:t>
      </w:r>
    </w:p>
    <w:p>
      <w:r>
        <w:rPr>
          <w:b/>
        </w:rPr>
        <w:t>E. 8</w:t>
      </w:r>
    </w:p>
    <w:p>
      <w:r>
        <w:t>Le rejet séparé, par le Ministère public, de la demande d’assistance judiciaire doit être confirmé, dès lors que la procédure pénale était d’emblée vouée à l'échec (arrêts du Tribunal fédéral 1B_173/2014 du 17 juillet 2014 consid. 3.1.1 et 1B_254/2013 du 27 septembre 2013 consid. 2.1.1.), et pour les mêmes motifs que ci-dessus.</w:t>
      </w:r>
    </w:p>
    <w:p>
      <w:r>
        <w:rPr>
          <w:b/>
        </w:rPr>
        <w:t>E. 9</w:t>
      </w:r>
    </w:p>
    <w:p>
      <w:r>
        <w:t>La recourante, qui succombe dans sa contestation de la non-entrée en matière, supportera sur ce point les frais envers l'État, fixés en totalité à CHF 800.- (art. 428 al. 1 CPP et 13 al. 1 du Règlement fixant le tarif des frais en matière pénale, RTFMP ; E 4 10.03). En revanche, le rejet du recours contre le refus d’assistance judiciaire n’entraîne pas la perception de frais (art. 20 RAJ). * * * * *</w:t>
      </w:r>
    </w:p>
    <w:p>
      <w:r>
        <w:t>- 7/8 - P/13869/2022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