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ACPR/790/2025 vom 29. Juli 2025</w:t>
      </w:r>
    </w:p>
    <w:p>
      <w:r>
        <w:t>GE Cour de justice, 2025-07-29, FR</w:t>
      </w:r>
    </w:p>
    <w:p>
      <w:r>
        <w:rPr>
          <w:b/>
        </w:rPr>
        <w:t xml:space="preserve">Quelle: </w:t>
      </w:r>
      <w:r>
        <w:t>https://mcp.opencaselaw.ch/entscheid/ge_gerichte_ACPR_790_2025</w:t>
      </w:r>
    </w:p>
    <w:p>
      <w:r>
        <w:t>FR: GE_GERICHTE ACPR/790/2025 du 29 juillet 2025</w:t>
      </w:r>
    </w:p>
    <w:p>
      <w:r>
        <w:t>IT: GE_GERICHTE ACPR/790/2025 del 29 luglio 2025</w:t>
      </w:r>
    </w:p>
    <w:p>
      <w:pPr>
        <w:pStyle w:val="Heading2"/>
      </w:pPr>
      <w:r>
        <w:t>Erwägungen</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de ne pas être entré en matière sur sa plainte. 3.1.1. Le ministère public rend immédiatement une ordonnance de non-entrée en matière s'il ressort de la dénonciation ou du rapport de police qu'il existe des empêchements de procéder (art. 310 al. 1 let. b CPP), par exemple lorsque le délai pour déposer plainte prévu par l'art. 31 CP n'a pas été respecté (arrêt du Tribunal fédéral 6B_848/2018 du 4 décembre 2018 consid. 1.5). La plainte concerne généralement une infraction qui a déjà été commise, le dépôt de plainte par précaution pour un délit futur n'étant pas admissible (ATF 126 IV 131 consid. 2a, JdT 2001 IV 55). Cependant, les effets d'une plainte déposée en relation avec un délit continu (Dauerdelikt) s'étendent en principe également aux faits dénoncés qui perdurent après que la plainte a été déposée (M. DUPUIS / L. MOREILLON / C. PIGUET / S. BERGER / M. MAZOU / V. RODIGARI (éds), Code pénal - Petit commentaire, 2ème éd., Bâle 2017, n. 7 ad art. 30). À teneur de l'art. 31 CP, le droit de déposer plainte se prescrit par trois mois. 3.1.2. L'art. 126 al. 1 CP punit pour voies de fait quiconque se livre sur une personne à des voies de fait qui ne cause ni lésions corporelles ni atteinte à la santé.</w:t>
      </w:r>
    </w:p>
    <w:p>
      <w:r>
        <w:t>- 7/12 - P/15417/2025 Est puni pour injure au sens de l'art. 177 CP quiconque, de toute autre manière que celle prévue aux art. 173 et 174 CP, attaque autrui dans son honneur, par la parole, l'écriture, l'image, le geste ou par des voies de fait. Ces deux infractions ne sont poursuivies que sur plainte. 3.1.3. En l'espèce, comme relevé par le Ministère public, les gifles et les insultes dont la recourante affirme avoir été victime dans l'enfance de la part de sa mère, de même que les insultes qui auraient été proférées par son frère à des dates non précisées ne peuvent être poursuivies que sur plainte en tant qu'elles seraient qualifiées de voies de fait ou d'injures. La plainte, déposée le 17 mai 2025, est ainsi manifestement tardive. L’art. 219 CP, à teneur duquel est puni pour violation du devoir d'assistance ou d'éducation quiconque viole son devoir d’assister ou d’élever une personne mineure dont il met ainsi en danger le développement physique ou psychique, ou qui manque à ce devoir, n’entre pas non plus en considération. En effet, les faits qualifiés par la recourante de violation du devoir d'assistance ou d'éducation ne sont aucunement étayés, la recourante se contentant de se référer, sans en produire le moindre extrait, à différents documents dont son dossier auprès du SPMi. Les insultes ou autres comportements de maltraitance sont par ailleurs contestés tant pas la mère que le frère de l’intéressée. L'action pénale serait, quoi qu'il en soit, prescrite pour tous les faits qui seraient survenus depuis plus de 10 ans, étant relevé que la recourante est majeure depuis septembre 2015 (art. 97 al. 1 let. c CP). La non-entrée en matière s'agissant de ces faits n'est donc pas critiquable. 3.2.1. 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w:t>
      </w:r>
    </w:p>
    <w:p>
      <w:r>
        <w:t>- 8/12 - P/15417/2025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(ATF 143 IV 241 consid. 2.2.1; 138 IV 86 consid. 4.1; 137 IV 219 consid. 7; arrêt du Tribunal fédéral 6B_196/2020 précité). 3.2.2. Se rend coupable de violation du domaine secret ou du domaine privé au moyen d'un appareil de prise de vues (art. 179quater al. 1 CP) quiconque, sans le consentement de la personne intéressée, observe avec un appareil de prise de vues ou fixe sur un porteur d'images un fait qui relève du domaine secret de cette personne ou un fait ne pouvant être perçu sans autre par chacun et qui relève du domaine privé de celle-ci. L'infraction est poursuivie sur plainte. Le caractère répréhensible de l'acte réprimé par l'art. 179quater CP consiste ainsi dans l'absence de consentement de la part des personnes qui sont, dans des faits relevant du domaine secret ou du domaine privé, observées à l'aide d'un appareil de prise de vues ou dont l'image est fixée sur un support (arrêt du Tribunal fédéral 6B_630/2017 du 16 février 2018 consid. 1.2.1). Se rend coupable de menaces (art. 180 CP) quiconque, par une menace grave, alarme ou effraie une personne. La poursuite a lieu sur plainte. Est puni pour contrainte (art. 181 CP) quiconque, en usant de violence envers une personne ou en la menaçant d’un dommage sérieux, ou en l’entravant de quelque autre manière dans sa liberté d’action, l’oblige à faire, à ne pas faire ou à laisser faire un acte. Commet une violation de domicile (art. 186 CP)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La poursuite a lieu sur plainte. Enfin, l'art. 325quater CP punit, sur plainte, pour inobservation des prescriptions légales sur la protection des locataires d'habitations, quiconque, en menaçant le locataire de désavantages tels que la résiliation du bail, l’empêche ou tente de l’empêcher de contester le montant du loyer ou d’autres prétentions du bailleur (al. 1), dénonce le bail parce que le locataire sauvegarde ou se propose de sauvegarder les droits que lui confère le code des obligations (al. 2), de manière illicite, applique ou tente d’appliquer un loyer ou fait valoir ou tente de faire valoir d’autres prétentions à la suite de l’échec de la tentative de conciliation ou à la suite d’une décision judiciaire (al. 3). 3.2.3. En l'espèce, la vidéo du 2 avril 2025 a été enregistrée, selon les déclarations concordantes des deux mis en cause, alors que la recourante avait donné son accord ou à tout le moins était informée de ce qu'elle était filmée. Celle-ci ne dit pas autre chose dans son mémoire de recours, puisqu'elle se limite à réaffirmer qu'elle avait demandé à son frère et à sa mère de quitter le salon, non d'arrêter de filmer. Il faut donc retenir,</w:t>
      </w:r>
    </w:p>
    <w:p>
      <w:r>
        <w:t>- 9/12 - P/15417/2025 comme l'a fait le Ministère public, qu'un des éléments constitutifs de l'infraction fait défaut, en l'occurrence l'absence de consentement de la part de la personne observée. La non-entrée en matière s'agissant de l'infraction à l'art. 179quater CP est partant fondée. Les faits relatifs à la cohabitation de la recourante avec son frère et sa mère, pouvant relever des art. 180, 181, 186 voire 325quater CP, sont contestés par les deux intéressés. La recourante elle-même a indiqué, dès le dépôt de sa main courante, ne plus souhaiter vivre auprès d’eux, ce qu'elle a effectivement fait. Préalablement, elle avait cependant été en mesure de confier son cas à l'ASLOCA et de faire appel à une association d'aide aux personnes précaires, laquelle lui avait déconseillé de poursuivre ses démarches. Il apparaît dès lors que les faits dénoncés, s'ils se sont produits, n’ont pas empêché la recourante d’agir comme elle pensait devoir le faire pour assurer la défense de ses droits. En fin de compte, les faits en cause semblent être survenus dans le cadre d'un litige de nature manifestement civile. La non-entrée en matière était, là encore, justifiée. Enfin, aucun acte d'instruction n'est susceptible de modifier l'appréciation qui précède, l'audition des deux mis en cause ayant déjà été menée. Il ne peut dès lors être reproché au Ministère public de n’avoir pas instruit les faits.</w:t>
      </w:r>
    </w:p>
    <w:p>
      <w:r>
        <w:rPr>
          <w:b/>
        </w:rPr>
        <w:t>E. 4</w:t>
      </w:r>
    </w:p>
    <w:p>
      <w:r>
        <w:t>La recourante conteste également l'ordonnance de refus d'octroi de l'assistance judiciaire.</w:t>
      </w:r>
    </w:p>
    <w:p>
      <w:r>
        <w:rPr>
          <w:b/>
        </w:rPr>
        <w:t>E. 4.1</w:t>
      </w:r>
    </w:p>
    <w:p>
      <w:r>
        <w:t>Conformément à l'art. 136 al. 1 let. a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L'assistance judiciaire comprend notamment l'exonération des frais de procédure (art. 136 al. 2 let. b CPP) et la désignation d'un conseil juridique gratuit, lorsque la défense des intérêts de la partie plaignante ou de la victime l'exige (art. 136 al. 2 let. c CPP). 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w:t>
      </w:r>
    </w:p>
    <w:p>
      <w:r>
        <w:rPr>
          <w:b/>
        </w:rPr>
        <w:t>E. 4.2</w:t>
      </w:r>
    </w:p>
    <w:p>
      <w:r>
        <w:t>En l’espèce, la plainte était d'emblée vouée à l'échec, pour les raisons exposées supra, de sorte que la recourante, même si elle est indigente, ne remplissait pas les conditions à l'octroi de l'assistance judiciaire. Partant, l'ordonnance de refus d'octroi de l'assistance judiciaire est fondée et le recours sera rejeté.</w:t>
      </w:r>
    </w:p>
    <w:p>
      <w:r>
        <w:rPr>
          <w:b/>
        </w:rPr>
        <w:t>E. 5</w:t>
      </w:r>
    </w:p>
    <w:p>
      <w:r>
        <w:t>Justifiées, les ordonnances querellées seront donc confirmées.</w:t>
      </w:r>
    </w:p>
    <w:p>
      <w:r>
        <w:t>- 10/12 - P/15417/2025</w:t>
      </w:r>
    </w:p>
    <w:p>
      <w:r>
        <w:rPr>
          <w:b/>
        </w:rPr>
        <w:t>E. 6</w:t>
      </w:r>
    </w:p>
    <w:p>
      <w:r>
        <w:t>La procédure de recours contre le refus de l'octroi de l'assistance juridique ne donne pas lieu à la perception de frais (art. 20 RAJ). La recourante, qui succombe dans son recours contre l'ordonnance de non-entrée en matière, supportera les frais envers l'État, qui seront fixés en totalité à CHF 800.- (art. 428 al. 1 CPP et 13 al. 1 du Règlement fixant le tarif des frais en matière pénale, RTFMP ; E 4 10.03). * * * * *</w:t>
      </w:r>
    </w:p>
    <w:p>
      <w:r>
        <w:t>- 11/12 - P/15417/2025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