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ACPR/790/2020 vom 24. Juli 2020</w:t>
      </w:r>
    </w:p>
    <w:p>
      <w:r>
        <w:t>GE Cour de justice, 2020-07-24, FR</w:t>
      </w:r>
    </w:p>
    <w:p>
      <w:r>
        <w:rPr>
          <w:b/>
        </w:rPr>
        <w:t xml:space="preserve">Quelle: </w:t>
      </w:r>
      <w:r>
        <w:t>https://mcp.opencaselaw.ch/entscheid/ge_gerichte_ACPR_790_2020</w:t>
      </w:r>
    </w:p>
    <w:p>
      <w:r>
        <w:t>FR: GE_GERICHTE ACPR/790/2020 du 24 juillet 2020</w:t>
      </w:r>
    </w:p>
    <w:p>
      <w:r>
        <w:t>IT: GE_GERICHTE ACPR/790/2020 del 24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(alt. 382 al. 1 CPP).</w:t>
      </w:r>
    </w:p>
    <w:p>
      <w:r>
        <w:rPr>
          <w:b/>
        </w:rPr>
        <w:t>E. 2</w:t>
      </w:r>
    </w:p>
    <w:p>
      <w:r>
        <w:t>L'ensemble des pièces nouvelles produites à l'appui de son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recourante reproche au Ministère public de ne pas être entré en matière sur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w:t>
      </w:r>
    </w:p>
    <w:p>
      <w:r>
        <w:t>- 6/9 - P/12443/2019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L'art. 179bis CP punit sur plainte, celui qui, sans le consentement de tous les participants, aura écouté à l'aide d'un appareil d'écoute ou enregistré sur un porteur de son une conversation non publique entre d'autres personnes, tiré profit ou donné connaissance à un tiers d'un fait qu'il savait ou devait présumer être parvenu à sa propre connaissance au moyen d'une infraction visée à l'al. 1, ou conservé ou rendu accessible à un tiers un enregistrement qu'il savait ou devait présumer avoir été réalisé au moyen d'une infraction visée à l'al. 1. L'art. 143bis CP punit, sur plainte, celui qui, sans dessein d'enrichissement, se sera introduit sans droit, au moyen d'un dispositif de transmission de données, dans un système informatique appartenant à autrui et spécialement protégé contre tout accès indu de sa part. L'accès indu à un système informatique peut être considéré comme l'équivalent informatique de la violation de domicile (FF 1991 II 933, 979). Pour que l'infraction soit réalisée, il faut être en présence de trois conditions, soit un accès à un système informatique, appartenant à autrui et spécialement protégé, qui soit indu et intentionnel (S. METILLE / J. AESCHLIMANN, Infrastructures et données informatiques: quelle protection au regard du code pénal suisse ?, in Revue pénale suisse, 2014, vol. 132, p. 283/297).</w:t>
      </w:r>
    </w:p>
    <w:p>
      <w:r>
        <w:rPr>
          <w:b/>
        </w:rPr>
        <w:t>E. 3.3</w:t>
      </w:r>
    </w:p>
    <w:p>
      <w:r>
        <w:t>En l'espèce, force est de constater que l'art. 179bis CP ne trouve pas à s'appliquer dans le cas de figure de l'appel du 5 mars 2018, seule la combox du téléphone de la recourante ayant pu être consultée à l'exclusion de toute autre conversation. En outre, rien ne permet d'exclure que les connexions litigieuses à la messagerie aient été faites par la recourante elle-même, cette dernière admettant se connecter régulièrement; en toute hypothèse, l'identification d'un tiers non autorisé, mais qui aurait disposé des codes d'accès, n'est en l'état pas possible et aucune audition des suspects désignés par la recourante ne permettrait de l'identifier tant il est acquis,</w:t>
      </w:r>
    </w:p>
    <w:p>
      <w:r>
        <w:t>- 7/9 - P/12443/2019 avec une vraisemblance confinant à la certitude, que ladite personne ne se désignera pas elle-même. La liste des "échanges d'email" dont la recourante fait état dans ses observations ne permet pas de considérer qu'il s'agirait d'accès indu mais bien plutôt de messages qu'elle a elle-même adressés à des tiers. C'est donc à raison que le Ministère public a refusé d'entrer en matière.</w:t>
      </w:r>
    </w:p>
    <w:p>
      <w:r>
        <w:rPr>
          <w:b/>
        </w:rPr>
        <w:t>E. 4</w:t>
      </w:r>
    </w:p>
    <w:p>
      <w:r>
        <w:t>Justifiée, l'ordonnance sera donc confirmée.</w:t>
      </w:r>
    </w:p>
    <w:p>
      <w:r>
        <w:rPr>
          <w:b/>
        </w:rPr>
        <w:t>E. 5</w:t>
      </w:r>
    </w:p>
    <w:p>
      <w:r>
        <w:t>La recourante, qui succombe, supportera les frais envers l'État, qui seront fixés en totalité à CHF 800.- (art. 428 al. 1 CPP et 13 al. 1 du Règlement fixant le tarif des frais en matière pénale, RTFMP ; E 4 10.03). * * * * *</w:t>
      </w:r>
    </w:p>
    <w:p>
      <w:r>
        <w:t>- 8/9 - P/12443/2019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