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ACPR/78/2020 vom 8. Januar 2020</w:t>
      </w:r>
    </w:p>
    <w:p>
      <w:r>
        <w:t>GE Cour de justice, 2020-01-08, FR</w:t>
      </w:r>
    </w:p>
    <w:p>
      <w:r>
        <w:rPr>
          <w:b/>
        </w:rPr>
        <w:t xml:space="preserve">Quelle: </w:t>
      </w:r>
      <w:r>
        <w:t>https://mcp.opencaselaw.ch/entscheid/ge_gerichte_ACPR_78_2020</w:t>
      </w:r>
    </w:p>
    <w:p>
      <w:r>
        <w:t>FR: GE_GERICHTE ACPR/78/2020 du 8 janvier 2020</w:t>
      </w:r>
    </w:p>
    <w:p>
      <w:r>
        <w:t>IT: GE_GERICHTE ACPR/78/2020 del 8 gennaio 2020</w:t>
      </w:r>
    </w:p>
    <w:p>
      <w:pPr>
        <w:pStyle w:val="Heading2"/>
      </w:pPr>
      <w:r>
        <w:t>Erwägungen</w:t>
      </w:r>
    </w:p>
    <w:p>
      <w:r>
        <w:rPr>
          <w:b/>
        </w:rPr>
        <w:t>E. 1.1</w:t>
      </w:r>
    </w:p>
    <w:p>
      <w:r>
        <w:t>Le recours est recevable pour avoir été déposé dans le délai et la forme prescrits (art. 90 al. 2, 396 al. 1 et 385 al. 1 CPP), concerner une décision du Tribunal de police sujette à recours auprès de la Chambre de céans (art. 393 al. 1 let. b CPP) et émaner de la prévenue, qui a la qualité pour agir (art. 104 al. 1 let. a, 111 et 382 al. 1 CPP) et un intérêt juridiquement protégé à l'annulation ou la modification de l'ordonnance entreprise (382 al. 1 CPP).</w:t>
      </w:r>
    </w:p>
    <w:p>
      <w:r>
        <w:rPr>
          <w:b/>
        </w:rPr>
        <w:t>E. 1.2</w:t>
      </w:r>
    </w:p>
    <w:p>
      <w:r>
        <w:t>On comprend, à la lecture du recours, que son auteur demande l'annulation de l'ordonnance querellée, puisqu'il explique les raisons pour lesquelles il n'aurait pas dû être condamné, de sorte qu'il sera retenu que l'acte, émanant d'un justiciable en personne, remplit de manière suffisante les conditions de l'art. 385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A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w:t>
      </w:r>
    </w:p>
    <w:p>
      <w:r>
        <w:t>- 4/6 - P/4668/2019 21 décembre 2005, FF 2006 1275 ; arrêts du Tribunal fédéral 6B_289/2013 du 6 mai 2014 consid. 12.2 et références citées ; 6B_747/2012 du 7 février 2014 consid. 3.3).</w:t>
      </w:r>
    </w:p>
    <w:p>
      <w:r>
        <w:t>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La doctrine relative à l'art. 205 CPP – dont on peut s'inspirer ici –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rPr>
          <w:b/>
        </w:rPr>
        <w:t>E. 3.3</w:t>
      </w:r>
    </w:p>
    <w:p>
      <w:r>
        <w:t>En l'espèce, force est de constater que la recourante a elle-même retiré à la Poste la convocation à l'audience, à laquelle elle a fait défaut, la signature apposée lors de ce retrait correspondant à celui qu'elle a apposé sur son recours. On ne peut ainsi suivre les explications données par son mari s'agissant de son absence à l'audience. Le recours sera dès lors rejeté.</w:t>
      </w:r>
    </w:p>
    <w:p>
      <w:r>
        <w:rPr>
          <w:b/>
        </w:rPr>
        <w:t>E. 4</w:t>
      </w:r>
    </w:p>
    <w:p>
      <w:r>
        <w:t>Justifiée, l'ordonnance querellée sera donc confirmée.</w:t>
      </w:r>
    </w:p>
    <w:p>
      <w:r>
        <w:rPr>
          <w:b/>
        </w:rPr>
        <w:t>E. 5</w:t>
      </w:r>
    </w:p>
    <w:p>
      <w:r>
        <w:t>La recourante, dont le recours est rejeté, supportera également les frais envers l'État pour la procédure de recours, qui seront fixés en totalité à CHF 300.- (art. 428 al. 1 CPP et 13 al. 1 RTFMP).</w:t>
      </w:r>
    </w:p>
    <w:p>
      <w:r>
        <w:t>- 5/6 - P/4668/2019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