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ACPR/788/2024 vom 6. September 2024</w:t>
      </w:r>
    </w:p>
    <w:p>
      <w:r>
        <w:t>GE Cour de justice, 2024-09-06, FR</w:t>
      </w:r>
    </w:p>
    <w:p>
      <w:r>
        <w:rPr>
          <w:b/>
        </w:rPr>
        <w:t xml:space="preserve">Quelle: </w:t>
      </w:r>
      <w:r>
        <w:t>https://mcp.opencaselaw.ch/entscheid/ge_gerichte_ACPR_788_2024</w:t>
      </w:r>
    </w:p>
    <w:p>
      <w:r>
        <w:t>FR: GE_GERICHTE ACPR/788/2024 du 6 septembre 2024</w:t>
      </w:r>
    </w:p>
    <w:p>
      <w:r>
        <w:t>IT: GE_GERICHTE ACPR/788/2024 del 6 settembre 2024</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 En vertu de la délégation figurant à l'art. 439 CPP, le législateur genevois a attribué à la Chambre pénale de recours la compétence de statuer sur les recours dirigés contre les décisions rendues par le Département des institutions et du numérique, ses offices et ses services, les art. 379 à 397 s'appliquant par analogie (art. 42 al. 1 let. a LaCP).</w:t>
      </w:r>
    </w:p>
    <w:p>
      <w:r>
        <w:rPr>
          <w:b/>
        </w:rPr>
        <w:t>E. 1.2</w:t>
      </w:r>
    </w:p>
    <w:p>
      <w:r>
        <w:t>La procédure devant la Chambre de céans est régie par le CPP, applicable au titre de droit cantonal supplétif (art. 42 al. 2 LaCP).</w:t>
      </w:r>
    </w:p>
    <w:p>
      <w:r>
        <w:rPr>
          <w:b/>
        </w:rPr>
        <w:t>E. 1.3</w:t>
      </w:r>
    </w:p>
    <w:p>
      <w:r>
        <w:t>En l'espèce, le recours est recevable pour être dirigé contre une décision rendue par l'OCPM (art. 18 al. 1 du règlement genevois sur l'exécution des peines et mesures [REPM; RS E 4 55.05], art. 40 al. 1 et 5 al. 2 let. c LaCP), avoir été déposé dans la forme – s'agissant d'un justiciable recourant en personne – et le délai prescrits (art. 385 al. 1 et 396 al. 1 CPP) et émaner du condamné visé par la décision querellée, qui a a priori un intérêt juridiquement protégé à son annulation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66abis CP (expulsion non obligatoire) prévoit que le juge peut expulser un étranger du territoire suisse pour une durée de trois à quinze ans si, pour un crime ou un délit non visé à l’art. 66a, celui-ci a été condamné à une peine ou a fait l’objet d’une mesure au sens des art. 59 à 61 ou 64.</w:t>
      </w:r>
    </w:p>
    <w:p>
      <w:r>
        <w:t>- 4/8 - PS/72/2024 Le juge peut toutefois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rPr>
          <w:b/>
        </w:rPr>
        <w:t>E. 3.2</w:t>
      </w:r>
    </w:p>
    <w:p>
      <w:r>
        <w:t>Selon l'art. 66d al. 1 CP (applicable par analogie à l'expulsion non obligatoire cf. ACPR/201/2021 et les références citées),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Cette disposition réserve la possibilité d'un ultime contrôle, dans un cadre strictement délimité, afin d'éviter que l'expulsion entrée en force ne soit exécutée au mépris du principe de non-refoulement ou d'une autre règle impérative du droit international (ATF 147 IV 453 consid. 1.4.5 p. 460). Il appartient au juge de l'expulsion d'examiner si les conditions de la clause dite "de rigueur" de l'art. 66a al. 2 CP sont réalisées et de renoncer à ordonner l'expulsion dans cette hypothèse. La loi ne définissant pas ce qui constitue une "situation personnelle grave", il convient de se référer aux critères qui président à l'octroi d'une autorisation de séjour dans les cas d'extrême gravité (cf. art. 31 OASA;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À cette liste non exhaustive s'ajoutent, dans l'optique pénale, les perspectives de réinsertion sociale du condamné (cf. ATF 144 IV 332 consid. 3.3.3 p. 341 s.). Par ailleurs, une situation personnelle grave, ou une violation de l'art. 8 CEDH, peut aussi résulter d'une expulsion ordonnée malgré un état de santé déficient, en fonction des prestations médicales à disposition dans l'État d'origine et des conséquences négatives que cela peut engendrer pour la personne concernée (ATF 145 IV 455 consid. 9.1 p. 459).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6B_818/2020 du 19 janvier 2021 consid. 6.1; 6B_397/2020 du 24 juillet 2020 consid. 6.1; 6B_344/2020 du 9 juillet 2020 consid. 3.1).</w:t>
      </w:r>
    </w:p>
    <w:p>
      <w:r>
        <w:t>- 5/8 - PS/72/2024 Il en résulte ainsi que toutes les questions relatives à l'existence d'une situation personnelle grave, à une violation des garanties offertes par l'art. 8 CEDH, à une ingérence d'une certaine importance dans le droit du condamné au respect de sa vie privée et familiale garanti par la Constitution fédérale (art. 13 Cst.)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d'une demande de report de l'expulsion au sens de l'art. 66d CP. La personne dont la décision d'expulsion est entrée en force n'a, dans cette mesure, pas d'intérêt à recourir contre une simple décision de mise en œuvre de son expulsion (ATF 147 IV 453 consid. 1.4.6 p. 462). L'appréciation d'un cas de rigueur supposant la prise en considération de nombreux facteurs susceptibles de se modifier plus ou moins rapidement (ex : l'état de santé, les relations personnelles ou la situation politique dans l'État de destination), tout intérêt juridique à contester le refus de son report n'est cependant pas exclu a priori. Il incombe au recourant, pour justifier son intérêt juridique au recours, de rendre vraisemblable au moins prima facie que les circonstances déterminantes se sont modifiées si profondément depuis le prononcé du jugement qu'il s'imposerait exceptionnellement de reconnaître l'existence de considérations humanitaires impérieuses exigeant désormais de renoncer à exécuter l'expulsion (ATF 147 IV 453 consid. 1.4.8).</w:t>
      </w:r>
    </w:p>
    <w:p>
      <w:r>
        <w:rPr>
          <w:b/>
        </w:rPr>
        <w:t>E. 3.3</w:t>
      </w:r>
    </w:p>
    <w:p>
      <w:r>
        <w:t>Lors de l'examen de l'exécution de l'expulsion obligatoire, l'autorité cantonale compétente doit tenir compte d'office des obstacles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w:t>
      </w:r>
    </w:p>
    <w:p>
      <w:r>
        <w:rPr>
          <w:b/>
        </w:rPr>
        <w:t>E. 3.4</w:t>
      </w:r>
    </w:p>
    <w:p>
      <w:r>
        <w:t>Selon l'art. 83 al. 1 LEI, le SEM décide d'admettre à titre provisoire l'étranger si l'exécution du renvoi ou de l'expulsion est impossible, illicite ou inexigible. Il y a ainsi lieu de vérifier si cette exécution ne contrevient pas, notamment, au principe du non-refoulement prévu par le droit des réfugiés (art. 5 al. 1 LAsi) ou applicable au regard des droits de l'homme (art. 3 CEDH) (SEM, Manuel Asile et retour, Article E3 - Le renvoi, l'exécution du renvoi et l'octroi de l'admission provisoire, 2014, p. 8 ss).</w:t>
      </w:r>
    </w:p>
    <w:p>
      <w:r>
        <w:t>- 6/8 - PS/72/2024 Enfin, l'exécution ne peut être raisonnablement exigée si le renvoi ou l'expulsion de l'étranger dans son pays d'origine ou de provenance le met concrètement en danger (ex. : en cas de guerre [civile], de violence généralisée, de nécessité médicale ; al. 4).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(SEM, op. cit., p. 13 ss).</w:t>
      </w:r>
    </w:p>
    <w:p>
      <w:r>
        <w:rPr>
          <w:b/>
        </w:rPr>
        <w:t>E. 3.5</w:t>
      </w:r>
    </w:p>
    <w:p>
      <w:r>
        <w:t>En l'espèce, le recourant s'oppose à l'exécution de son expulsion de Suisse au motif qu'il serait gravement malade. Or, il ressort de la procédure que les pathologies dont il souffre, décrites dans le certificat médical figurant au dossier, étaient déjà présentes au moment du prononcé de son expulsion, en 2019, puis en 2022. L'intérêt juridique à recourir de l'intéressé contre la mise en œuvre de la mesure doit ainsi être dénié. Quand bien même il disposerait d'un tel intérêt, force est de constater que les motifs avancés ne justifient pas de renoncer à exécuter son expulsion. Si les maladies chroniques l'affectant nécessitent certes un suivi médical, il n'apparaît pas impératif que celui-ci doive avoir lieu en Suisse, l'Algérie disposant de structures hospitalières. Le recourant ne démontre par ailleurs pas qu'il devrait subir d'autres opérations, ni qu'il serait privé de tout traitement médical, y compris médicamenteux, en cas de retour dans son pays d'origine. On relèvera enfin que les autorités algériennes sont désormais disposées à délivrer un laissez-passer, de sorte qu'il n'y plus aucun obstacle au renvoi du recourant vers ce pays. L'expulsion du recourant n'étant pas impossible, au sens de l'art. 83 al. 1 LEI, la mesure n’avait pas à être différée. L’OCPM a ainsi statué à bon droit.</w:t>
      </w:r>
    </w:p>
    <w:p>
      <w:r>
        <w:rPr>
          <w:b/>
        </w:rPr>
        <w:t>E. 4</w:t>
      </w:r>
    </w:p>
    <w:p>
      <w:r>
        <w:t>Justifiée, la décision querellée sera donc confirmée.</w:t>
      </w:r>
    </w:p>
    <w:p>
      <w:r>
        <w:rPr>
          <w:b/>
        </w:rPr>
        <w:t>E. 5</w:t>
      </w:r>
    </w:p>
    <w:p>
      <w:r>
        <w:t>Le recourant succombe dans ses conclusions. Il supportera les frais de la procédure de recours (art. 428 al. 1 CPP), qui seront fixés en totalité à CHF 600.- (art. 13 al. 1 du Règlement fixant le tarif des frais en matière pénale, RTFMP; E 4 10.0) * * * * *</w:t>
      </w:r>
    </w:p>
    <w:p>
      <w:r>
        <w:t>- 7/8 - PS/72/2024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