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ACPR/784/2024 vom 29. Mai 2024</w:t>
      </w:r>
    </w:p>
    <w:p>
      <w:r>
        <w:t>GE Cour de justice, 2024-05-29, FR</w:t>
      </w:r>
    </w:p>
    <w:p>
      <w:r>
        <w:rPr>
          <w:b/>
        </w:rPr>
        <w:t xml:space="preserve">Quelle: </w:t>
      </w:r>
      <w:r>
        <w:t>https://mcp.opencaselaw.ch/entscheid/ge_gerichte_ACPR_784_2024</w:t>
      </w:r>
    </w:p>
    <w:p>
      <w:r>
        <w:t>FR: GE_GERICHTE ACPR/784/2024 du 29 mai 2024</w:t>
      </w:r>
    </w:p>
    <w:p>
      <w:r>
        <w:t>IT: GE_GERICHTE ACPR/784/2024 del 29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t>- 4/7 - P/8365/2023</w:t>
      </w:r>
    </w:p>
    <w:p>
      <w:r>
        <w:rPr>
          <w:b/>
        </w:rPr>
        <w:t>E. 2</w:t>
      </w:r>
    </w:p>
    <w:p>
      <w:r>
        <w:t>Les recourants estiment que l'infraction de dommages à la propriété est réalisée.</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Le ministère public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2.2</w:t>
      </w:r>
    </w:p>
    <w:p>
      <w:r>
        <w:t>Dans le domaine patrimonial, le principe de la subsidiarité du droit pénal est admis en ce sens qu'il incombe au droit civil, prioritairement, d'aménager les rapports contractuels et extra-contractuels entre les individus (ATF 141 IV 71 consid. 7; arrêt du Tribunal fédéral 6B_1116/2021 du 22 juin 2022 consid. 3.1).</w:t>
      </w:r>
    </w:p>
    <w:p>
      <w:r>
        <w:rPr>
          <w:b/>
        </w:rPr>
        <w:t>E. 2.3</w:t>
      </w:r>
    </w:p>
    <w:p>
      <w:r>
        <w:t>L’art. 144 ch. 1 CP réprime le comportement de quiconque endommage, détruit ou met hors d'usage une chose, soit appartenant à autrui, soit frappée d'un droit d'usage ou d'usufruit au bénéfice d'autrui. L'art. 144 ch. 3 CP consacre une forme qualifiée de l'infraction, lorsque l'auteur cause un dommage considérable, soit supérieur à CHF 10'000.- (ATF 136 IV 117 consid. 4.3.1).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arrêt du Tribunal fédéral 6B_872/2022 du 1er mars 2023 consid. 3.1).</w:t>
      </w:r>
    </w:p>
    <w:p>
      <w:r>
        <w:rPr>
          <w:b/>
        </w:rPr>
        <w:t>E. 2.4</w:t>
      </w:r>
    </w:p>
    <w:p>
      <w:r>
        <w:t>En l'espèce, la question de la prescription applicable n'est plus sujette à débat, de sorte qu'il n'y a pas lieu d'y revenir. Le mis en cause ne conteste pas avoir effectué les travaux décriés, sans l'autorisation des recourants, propriétaires. Au vu des modifications dont il est question, soit notamment la destruction de cloisons, un tel comportement est susceptible de réaliser les éléments constitutifs de l'infraction visée à l'art. 144 CP. Néanmoins, le mis en cause affirme avoir agi dans le dessein d'améliorer l'habitabilité du logement. De leur côté, les recourants allèguent un dommage</w:t>
      </w:r>
    </w:p>
    <w:p>
      <w:r>
        <w:t>- 5/7 - P/8365/2023 supérieur à CHF 30'000.-, sans prétendre que les modifications apportées par le mis en cause auraient rendu l'appartement inhabitable, voire même insalubre. Il n'est également pas question de travaux mal réalisés. Les altérations en cause ne le sont ainsi que d'un point de vue esthétique et fonctionnel. Partant, l'application de l'art. 52 CP par le Ministère public ne souffre aucune critique. À cela s'ajoute que le mis en cause semble être toujours le locataire principal du bien, même s'il le sous-loue actuellement. Or, une fois que le bail prendra fin, il sera tenu légalement de le restituer dans l'état qui résulte d'un usage conforme au contrat (art. 267 al. 1 CO). Si les recourants prétendent que certains travaux effectués sont irréversibles, ils disposeront là aussi, en vertu du droit privé, de moyens d'obtenir le cas échéant un dédommagement financier. Face à de pareilles circonstances, il peut être retenu que le droit civil, qui a vocation à régler intégralement la cause et offre une protection suffisante aux recourants contre les agissements contraires au droit reprochés au mis en cause, supplée le droit pénal.</w:t>
      </w:r>
    </w:p>
    <w:p>
      <w:r>
        <w:rPr>
          <w:b/>
        </w:rPr>
        <w:t>E. 3</w:t>
      </w:r>
    </w:p>
    <w:p>
      <w:r>
        <w:t>Justifiée, l'ordonnance querellée sera donc confirmée.</w:t>
      </w:r>
    </w:p>
    <w:p>
      <w:r>
        <w:rPr>
          <w:b/>
        </w:rPr>
        <w:t>E. 4</w:t>
      </w:r>
    </w:p>
    <w:p>
      <w:r>
        <w:t>Les recourants, qui succombent, supporteront les frais envers l'État, fixés en intégralité à CHF 1'000.- (art. 428 al. 1 CPP et 13 al. 1 du Règlement fixant le tarif des frais en matière pénale, RTFMP ; E 4 10.03). * * * * *</w:t>
      </w:r>
    </w:p>
    <w:p>
      <w:r>
        <w:t>- 6/7 - P/8365/2023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